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50" w:lineRule="auto"/>
      </w:pPr>
    </w:p>
    <w:p>
      <w:pPr>
        <w:widowControl/>
        <w:kinsoku w:val="0"/>
        <w:autoSpaceDE w:val="0"/>
        <w:autoSpaceDN w:val="0"/>
        <w:adjustRightInd w:val="0"/>
        <w:snapToGrid w:val="0"/>
        <w:spacing w:line="250" w:lineRule="auto"/>
        <w:ind w:firstLine="5060" w:firstLineChars="1800"/>
        <w:jc w:val="right"/>
        <w:textAlignment w:val="baseline"/>
        <w:rPr>
          <w:rFonts w:hint="eastAsia" w:eastAsia="仿宋"/>
          <w:b/>
          <w:sz w:val="28"/>
          <w:szCs w:val="28"/>
          <w:lang w:eastAsia="zh-CN"/>
        </w:rPr>
      </w:pPr>
      <w:r>
        <w:rPr>
          <w:rFonts w:hint="eastAsia" w:eastAsia="仿宋"/>
          <w:b/>
          <w:sz w:val="28"/>
          <w:szCs w:val="28"/>
        </w:rPr>
        <w:t>预案编号：HOYC202</w:t>
      </w:r>
      <w:r>
        <w:rPr>
          <w:rFonts w:hint="eastAsia" w:eastAsia="仿宋"/>
          <w:b/>
          <w:sz w:val="28"/>
          <w:szCs w:val="28"/>
          <w:lang w:val="en-US" w:eastAsia="zh-CN"/>
        </w:rPr>
        <w:t>3</w:t>
      </w:r>
    </w:p>
    <w:p>
      <w:pPr>
        <w:widowControl/>
        <w:kinsoku w:val="0"/>
        <w:autoSpaceDE w:val="0"/>
        <w:autoSpaceDN w:val="0"/>
        <w:adjustRightInd w:val="0"/>
        <w:snapToGrid w:val="0"/>
        <w:spacing w:line="250" w:lineRule="auto"/>
        <w:ind w:firstLine="5060" w:firstLineChars="1800"/>
        <w:jc w:val="right"/>
        <w:textAlignment w:val="baseline"/>
        <w:rPr>
          <w:rFonts w:eastAsia="仿宋"/>
          <w:b/>
          <w:sz w:val="28"/>
          <w:szCs w:val="28"/>
        </w:rPr>
      </w:pPr>
      <w:r>
        <w:rPr>
          <w:rFonts w:hint="eastAsia" w:eastAsia="仿宋"/>
          <w:b/>
          <w:sz w:val="28"/>
          <w:szCs w:val="28"/>
        </w:rPr>
        <w:t>版本号：202</w:t>
      </w:r>
      <w:r>
        <w:rPr>
          <w:rFonts w:hint="eastAsia" w:eastAsia="仿宋"/>
          <w:b/>
          <w:sz w:val="28"/>
          <w:szCs w:val="28"/>
          <w:lang w:val="en-US" w:eastAsia="zh-CN"/>
        </w:rPr>
        <w:t>3</w:t>
      </w:r>
      <w:r>
        <w:rPr>
          <w:rFonts w:hint="eastAsia" w:eastAsia="仿宋"/>
          <w:b/>
          <w:sz w:val="28"/>
          <w:szCs w:val="28"/>
        </w:rPr>
        <w:t>第1版</w:t>
      </w:r>
    </w:p>
    <w:p>
      <w:pPr>
        <w:spacing w:line="250" w:lineRule="auto"/>
        <w:rPr>
          <w:rFonts w:ascii="Arial"/>
        </w:rPr>
      </w:pPr>
    </w:p>
    <w:p>
      <w:pPr>
        <w:spacing w:line="250" w:lineRule="auto"/>
        <w:rPr>
          <w:rFonts w:ascii="Arial"/>
        </w:rPr>
      </w:pPr>
    </w:p>
    <w:p>
      <w:pPr>
        <w:spacing w:line="250" w:lineRule="auto"/>
        <w:rPr>
          <w:rFonts w:ascii="Arial"/>
        </w:rPr>
      </w:pPr>
    </w:p>
    <w:p>
      <w:pPr>
        <w:spacing w:line="250" w:lineRule="auto"/>
        <w:rPr>
          <w:rFonts w:ascii="Arial"/>
        </w:rPr>
      </w:pPr>
    </w:p>
    <w:p>
      <w:pPr>
        <w:spacing w:line="250" w:lineRule="auto"/>
        <w:rPr>
          <w:rFonts w:ascii="Arial"/>
        </w:rPr>
      </w:pPr>
    </w:p>
    <w:p>
      <w:pPr>
        <w:pStyle w:val="90"/>
        <w:spacing w:after="240"/>
        <w:rPr>
          <w:rFonts w:ascii="仿宋" w:hAnsi="仿宋" w:eastAsia="仿宋"/>
          <w:sz w:val="48"/>
          <w:szCs w:val="48"/>
        </w:rPr>
      </w:pPr>
      <w:r>
        <w:rPr>
          <w:rFonts w:hint="eastAsia" w:ascii="仿宋" w:hAnsi="仿宋" w:eastAsia="仿宋"/>
          <w:kern w:val="2"/>
          <w:sz w:val="48"/>
          <w:szCs w:val="48"/>
          <w:lang w:val="en-US" w:eastAsia="zh-CN"/>
        </w:rPr>
        <w:t>湖北航欧新材料科技有限公司</w:t>
      </w:r>
    </w:p>
    <w:p>
      <w:pPr>
        <w:pStyle w:val="90"/>
        <w:spacing w:after="240"/>
        <w:rPr>
          <w:rFonts w:ascii="仿宋" w:hAnsi="仿宋" w:eastAsia="仿宋"/>
          <w:sz w:val="48"/>
          <w:szCs w:val="48"/>
        </w:rPr>
      </w:pPr>
      <w:r>
        <w:rPr>
          <w:rFonts w:hint="eastAsia" w:ascii="仿宋" w:hAnsi="仿宋" w:eastAsia="仿宋"/>
          <w:kern w:val="2"/>
          <w:sz w:val="48"/>
          <w:szCs w:val="48"/>
          <w:lang w:val="en-US" w:eastAsia="zh-CN"/>
        </w:rPr>
        <w:t>突发环境事件应急预案</w:t>
      </w:r>
    </w:p>
    <w:p>
      <w:pPr>
        <w:spacing w:line="255" w:lineRule="auto"/>
        <w:rPr>
          <w:rFonts w:ascii="Arial"/>
        </w:rPr>
      </w:pPr>
    </w:p>
    <w:p>
      <w:pPr>
        <w:spacing w:line="255" w:lineRule="auto"/>
        <w:rPr>
          <w:rFonts w:ascii="Arial"/>
        </w:rPr>
      </w:pPr>
    </w:p>
    <w:p>
      <w:pPr>
        <w:spacing w:line="255" w:lineRule="auto"/>
        <w:rPr>
          <w:rFonts w:ascii="Arial"/>
        </w:rPr>
      </w:pPr>
    </w:p>
    <w:p>
      <w:pPr>
        <w:spacing w:line="255" w:lineRule="auto"/>
        <w:rPr>
          <w:rFonts w:ascii="Arial"/>
        </w:rPr>
      </w:pPr>
    </w:p>
    <w:p>
      <w:pPr>
        <w:spacing w:line="255" w:lineRule="auto"/>
        <w:rPr>
          <w:rFonts w:ascii="Arial"/>
        </w:rPr>
      </w:pPr>
    </w:p>
    <w:p>
      <w:pPr>
        <w:spacing w:line="255" w:lineRule="auto"/>
        <w:rPr>
          <w:rFonts w:ascii="Arial"/>
        </w:rPr>
      </w:pPr>
    </w:p>
    <w:p>
      <w:pPr>
        <w:spacing w:line="256" w:lineRule="auto"/>
        <w:rPr>
          <w:rFonts w:ascii="Arial"/>
        </w:rPr>
      </w:pPr>
    </w:p>
    <w:p>
      <w:pPr>
        <w:spacing w:line="256" w:lineRule="auto"/>
        <w:rPr>
          <w:rFonts w:ascii="Arial"/>
        </w:rPr>
      </w:pPr>
    </w:p>
    <w:p>
      <w:pPr>
        <w:spacing w:line="256" w:lineRule="auto"/>
        <w:rPr>
          <w:rFonts w:ascii="Arial"/>
        </w:rPr>
      </w:pPr>
    </w:p>
    <w:p>
      <w:pPr>
        <w:spacing w:line="256" w:lineRule="auto"/>
        <w:rPr>
          <w:rFonts w:ascii="Arial"/>
        </w:rPr>
      </w:pPr>
    </w:p>
    <w:p>
      <w:pPr>
        <w:spacing w:line="256" w:lineRule="auto"/>
        <w:rPr>
          <w:rFonts w:ascii="Arial"/>
        </w:rPr>
      </w:pPr>
    </w:p>
    <w:p>
      <w:pPr>
        <w:spacing w:line="256" w:lineRule="auto"/>
        <w:rPr>
          <w:rFonts w:ascii="Arial"/>
        </w:rPr>
      </w:pPr>
    </w:p>
    <w:p>
      <w:pPr>
        <w:spacing w:line="256" w:lineRule="auto"/>
        <w:rPr>
          <w:rFonts w:ascii="Arial"/>
        </w:rPr>
      </w:pPr>
    </w:p>
    <w:p>
      <w:pPr>
        <w:spacing w:line="256" w:lineRule="auto"/>
        <w:rPr>
          <w:rFonts w:ascii="Arial"/>
        </w:rPr>
      </w:pPr>
    </w:p>
    <w:p>
      <w:pPr>
        <w:spacing w:line="256" w:lineRule="auto"/>
        <w:rPr>
          <w:rFonts w:ascii="Arial"/>
        </w:rPr>
      </w:pPr>
    </w:p>
    <w:p>
      <w:pPr>
        <w:spacing w:line="265" w:lineRule="auto"/>
        <w:rPr>
          <w:rFonts w:ascii="Arial"/>
        </w:rPr>
      </w:pPr>
    </w:p>
    <w:p>
      <w:pPr>
        <w:spacing w:line="265" w:lineRule="auto"/>
        <w:rPr>
          <w:rFonts w:ascii="Arial"/>
        </w:rPr>
      </w:pPr>
    </w:p>
    <w:p>
      <w:pPr>
        <w:spacing w:line="265" w:lineRule="auto"/>
        <w:rPr>
          <w:rFonts w:ascii="Arial"/>
        </w:rPr>
      </w:pPr>
    </w:p>
    <w:p>
      <w:pPr>
        <w:spacing w:line="265" w:lineRule="auto"/>
        <w:rPr>
          <w:rFonts w:ascii="Arial"/>
        </w:rPr>
      </w:pPr>
    </w:p>
    <w:p>
      <w:pPr>
        <w:spacing w:line="266" w:lineRule="auto"/>
        <w:rPr>
          <w:rFonts w:ascii="Arial"/>
        </w:rPr>
      </w:pPr>
    </w:p>
    <w:p>
      <w:pPr>
        <w:spacing w:line="266" w:lineRule="auto"/>
        <w:rPr>
          <w:rFonts w:ascii="Arial"/>
        </w:rPr>
      </w:pPr>
    </w:p>
    <w:p>
      <w:pPr>
        <w:spacing w:line="266" w:lineRule="auto"/>
        <w:rPr>
          <w:rFonts w:ascii="Arial"/>
        </w:rPr>
      </w:pPr>
    </w:p>
    <w:p>
      <w:pPr>
        <w:spacing w:line="266" w:lineRule="auto"/>
        <w:rPr>
          <w:rFonts w:ascii="Arial"/>
        </w:rPr>
      </w:pPr>
    </w:p>
    <w:p>
      <w:pPr>
        <w:spacing w:line="266" w:lineRule="auto"/>
        <w:rPr>
          <w:rFonts w:ascii="Arial"/>
        </w:rPr>
      </w:pPr>
    </w:p>
    <w:p>
      <w:pPr>
        <w:spacing w:line="266" w:lineRule="auto"/>
        <w:rPr>
          <w:rFonts w:ascii="Arial"/>
        </w:rPr>
      </w:pPr>
    </w:p>
    <w:p>
      <w:pPr>
        <w:spacing w:line="266" w:lineRule="auto"/>
        <w:rPr>
          <w:rFonts w:ascii="Arial"/>
        </w:rPr>
      </w:pPr>
    </w:p>
    <w:p>
      <w:pPr>
        <w:spacing w:line="266" w:lineRule="auto"/>
        <w:rPr>
          <w:rFonts w:ascii="Arial"/>
        </w:rPr>
      </w:pPr>
    </w:p>
    <w:p>
      <w:pPr>
        <w:spacing w:line="266" w:lineRule="auto"/>
        <w:rPr>
          <w:rFonts w:ascii="Arial"/>
        </w:rPr>
      </w:pPr>
    </w:p>
    <w:p>
      <w:pPr>
        <w:pStyle w:val="90"/>
        <w:spacing w:after="240"/>
        <w:rPr>
          <w:rFonts w:ascii="仿宋" w:hAnsi="仿宋" w:eastAsia="仿宋" w:cs="仿宋"/>
          <w:bCs/>
          <w:sz w:val="32"/>
          <w:szCs w:val="32"/>
        </w:rPr>
      </w:pPr>
      <w:r>
        <w:rPr>
          <w:rFonts w:hint="eastAsia" w:ascii="仿宋" w:hAnsi="仿宋" w:eastAsia="仿宋" w:cs="仿宋"/>
          <w:bCs/>
          <w:kern w:val="2"/>
          <w:sz w:val="32"/>
          <w:szCs w:val="32"/>
          <w:lang w:val="en-US" w:eastAsia="zh-CN"/>
        </w:rPr>
        <w:t>湖北航欧新材料科技有限公司</w:t>
      </w:r>
    </w:p>
    <w:p>
      <w:pPr>
        <w:widowControl/>
        <w:kinsoku w:val="0"/>
        <w:autoSpaceDE w:val="0"/>
        <w:autoSpaceDN w:val="0"/>
        <w:adjustRightInd w:val="0"/>
        <w:snapToGrid w:val="0"/>
        <w:spacing w:line="226" w:lineRule="auto"/>
        <w:jc w:val="center"/>
        <w:textAlignment w:val="baseline"/>
        <w:rPr>
          <w:rFonts w:ascii="仿宋" w:hAnsi="仿宋" w:eastAsia="仿宋" w:cs="仿宋"/>
          <w:b/>
          <w:bCs/>
          <w:sz w:val="32"/>
          <w:szCs w:val="32"/>
        </w:rPr>
      </w:pPr>
      <w:r>
        <w:rPr>
          <w:rFonts w:hint="eastAsia" w:ascii="仿宋" w:hAnsi="仿宋" w:eastAsia="仿宋" w:cs="仿宋"/>
          <w:b/>
          <w:bCs/>
          <w:sz w:val="32"/>
          <w:szCs w:val="32"/>
        </w:rPr>
        <w:t>编制日期：二〇二三年</w:t>
      </w:r>
      <w:r>
        <w:rPr>
          <w:rFonts w:hint="eastAsia" w:ascii="仿宋" w:hAnsi="仿宋" w:eastAsia="仿宋" w:cs="仿宋"/>
          <w:b/>
          <w:bCs/>
          <w:sz w:val="32"/>
          <w:szCs w:val="32"/>
          <w:lang w:eastAsia="zh-CN"/>
        </w:rPr>
        <w:t>三</w:t>
      </w:r>
      <w:r>
        <w:rPr>
          <w:rFonts w:hint="eastAsia" w:ascii="仿宋" w:hAnsi="仿宋" w:eastAsia="仿宋" w:cs="仿宋"/>
          <w:b/>
          <w:bCs/>
          <w:sz w:val="32"/>
          <w:szCs w:val="32"/>
        </w:rPr>
        <w:t>月</w:t>
      </w:r>
    </w:p>
    <w:p>
      <w:pPr>
        <w:widowControl/>
        <w:kinsoku w:val="0"/>
        <w:autoSpaceDE w:val="0"/>
        <w:autoSpaceDN w:val="0"/>
        <w:adjustRightInd w:val="0"/>
        <w:snapToGrid w:val="0"/>
        <w:spacing w:line="226" w:lineRule="auto"/>
        <w:jc w:val="center"/>
        <w:textAlignment w:val="baseline"/>
        <w:rPr>
          <w:rFonts w:ascii="仿宋" w:hAnsi="仿宋" w:eastAsia="仿宋" w:cs="仿宋"/>
          <w:b/>
          <w:bCs/>
          <w:sz w:val="32"/>
          <w:szCs w:val="32"/>
        </w:rPr>
      </w:pPr>
    </w:p>
    <w:p>
      <w:pPr>
        <w:widowControl/>
        <w:kinsoku w:val="0"/>
        <w:autoSpaceDE w:val="0"/>
        <w:autoSpaceDN w:val="0"/>
        <w:adjustRightInd w:val="0"/>
        <w:snapToGrid w:val="0"/>
        <w:spacing w:line="226" w:lineRule="auto"/>
        <w:jc w:val="center"/>
        <w:textAlignment w:val="baseline"/>
        <w:rPr>
          <w:rFonts w:ascii="仿宋" w:hAnsi="仿宋" w:eastAsia="仿宋" w:cs="仿宋"/>
          <w:b/>
          <w:bCs/>
          <w:sz w:val="32"/>
          <w:szCs w:val="32"/>
        </w:rPr>
      </w:pPr>
    </w:p>
    <w:p>
      <w:pPr>
        <w:widowControl/>
        <w:kinsoku w:val="0"/>
        <w:autoSpaceDE w:val="0"/>
        <w:autoSpaceDN w:val="0"/>
        <w:adjustRightInd w:val="0"/>
        <w:snapToGrid w:val="0"/>
        <w:spacing w:line="226" w:lineRule="auto"/>
        <w:jc w:val="center"/>
        <w:textAlignment w:val="baseline"/>
        <w:rPr>
          <w:rFonts w:ascii="仿宋" w:hAnsi="仿宋" w:eastAsia="仿宋" w:cs="仿宋"/>
          <w:b/>
          <w:bCs/>
          <w:sz w:val="32"/>
          <w:szCs w:val="32"/>
        </w:rPr>
      </w:pPr>
    </w:p>
    <w:p>
      <w:pPr>
        <w:widowControl/>
        <w:kinsoku w:val="0"/>
        <w:autoSpaceDE w:val="0"/>
        <w:autoSpaceDN w:val="0"/>
        <w:adjustRightInd w:val="0"/>
        <w:snapToGrid w:val="0"/>
        <w:spacing w:line="226" w:lineRule="auto"/>
        <w:jc w:val="center"/>
        <w:textAlignment w:val="baseline"/>
        <w:rPr>
          <w:rFonts w:ascii="仿宋" w:hAnsi="仿宋" w:eastAsia="仿宋" w:cs="仿宋"/>
          <w:b/>
          <w:bCs/>
          <w:sz w:val="32"/>
          <w:szCs w:val="32"/>
        </w:rPr>
      </w:pPr>
    </w:p>
    <w:p>
      <w:pPr>
        <w:widowControl/>
        <w:kinsoku w:val="0"/>
        <w:autoSpaceDE w:val="0"/>
        <w:autoSpaceDN w:val="0"/>
        <w:adjustRightInd w:val="0"/>
        <w:snapToGrid w:val="0"/>
        <w:spacing w:line="226" w:lineRule="auto"/>
        <w:jc w:val="center"/>
        <w:textAlignment w:val="baseline"/>
        <w:rPr>
          <w:rFonts w:ascii="仿宋" w:hAnsi="仿宋" w:eastAsia="仿宋" w:cs="仿宋"/>
          <w:b/>
          <w:bCs/>
          <w:sz w:val="32"/>
          <w:szCs w:val="32"/>
        </w:rPr>
      </w:pPr>
    </w:p>
    <w:p>
      <w:pPr>
        <w:widowControl/>
        <w:kinsoku w:val="0"/>
        <w:autoSpaceDE w:val="0"/>
        <w:autoSpaceDN w:val="0"/>
        <w:adjustRightInd w:val="0"/>
        <w:snapToGrid w:val="0"/>
        <w:spacing w:line="226" w:lineRule="auto"/>
        <w:jc w:val="center"/>
        <w:textAlignment w:val="baseline"/>
        <w:rPr>
          <w:rFonts w:ascii="仿宋" w:hAnsi="仿宋" w:eastAsia="仿宋" w:cs="仿宋"/>
          <w:b/>
          <w:bCs/>
          <w:sz w:val="32"/>
          <w:szCs w:val="32"/>
        </w:rPr>
      </w:pPr>
    </w:p>
    <w:p>
      <w:pPr>
        <w:widowControl/>
        <w:kinsoku w:val="0"/>
        <w:autoSpaceDE w:val="0"/>
        <w:autoSpaceDN w:val="0"/>
        <w:adjustRightInd w:val="0"/>
        <w:snapToGrid w:val="0"/>
        <w:spacing w:line="226" w:lineRule="auto"/>
        <w:jc w:val="center"/>
        <w:textAlignment w:val="baseline"/>
        <w:rPr>
          <w:rFonts w:ascii="仿宋" w:hAnsi="仿宋" w:eastAsia="仿宋" w:cs="仿宋"/>
          <w:b/>
          <w:bCs/>
          <w:sz w:val="32"/>
          <w:szCs w:val="32"/>
        </w:rPr>
      </w:pPr>
    </w:p>
    <w:p>
      <w:pPr>
        <w:widowControl/>
        <w:kinsoku w:val="0"/>
        <w:autoSpaceDE w:val="0"/>
        <w:autoSpaceDN w:val="0"/>
        <w:adjustRightInd w:val="0"/>
        <w:snapToGrid w:val="0"/>
        <w:spacing w:line="226" w:lineRule="auto"/>
        <w:jc w:val="center"/>
        <w:textAlignment w:val="baseline"/>
        <w:rPr>
          <w:rFonts w:ascii="宋体" w:hAnsi="宋体" w:cs="宋体"/>
          <w:sz w:val="31"/>
          <w:szCs w:val="31"/>
        </w:rPr>
      </w:pPr>
    </w:p>
    <w:p>
      <w:pPr>
        <w:sectPr>
          <w:pgSz w:w="11907" w:h="16839"/>
          <w:pgMar w:top="1431" w:right="1785" w:bottom="0" w:left="1785" w:header="0" w:footer="0" w:gutter="0"/>
          <w:pgBorders>
            <w:top w:val="none" w:sz="0" w:space="0"/>
            <w:left w:val="none" w:sz="0" w:space="0"/>
            <w:bottom w:val="none" w:sz="0" w:space="0"/>
            <w:right w:val="none" w:sz="0" w:space="0"/>
          </w:pgBorders>
          <w:cols w:space="720" w:num="1"/>
        </w:sectPr>
      </w:pPr>
    </w:p>
    <w:p>
      <w:pPr>
        <w:pStyle w:val="27"/>
        <w:tabs>
          <w:tab w:val="right" w:leader="dot" w:pos="8296"/>
        </w:tabs>
        <w:jc w:val="center"/>
        <w:rPr>
          <w:rFonts w:eastAsia="仿宋_GB2312"/>
          <w:sz w:val="52"/>
          <w:szCs w:val="52"/>
        </w:rPr>
      </w:pPr>
      <w:r>
        <w:rPr>
          <w:rFonts w:eastAsia="仿宋_GB2312"/>
          <w:sz w:val="52"/>
          <w:szCs w:val="52"/>
        </w:rPr>
        <w:t>目  录</w:t>
      </w:r>
    </w:p>
    <w:p>
      <w:pPr>
        <w:pStyle w:val="27"/>
        <w:tabs>
          <w:tab w:val="left" w:pos="283"/>
          <w:tab w:val="right" w:leader="dot" w:pos="8296"/>
        </w:tabs>
        <w:jc w:val="center"/>
        <w:rPr>
          <w:rFonts w:eastAsia="仿宋_GB2312"/>
          <w:color w:val="FF0000"/>
          <w:sz w:val="28"/>
          <w:szCs w:val="28"/>
        </w:rPr>
      </w:pPr>
    </w:p>
    <w:p>
      <w:pPr>
        <w:pStyle w:val="27"/>
        <w:tabs>
          <w:tab w:val="right" w:leader="dot" w:pos="8306"/>
        </w:tabs>
        <w:rPr>
          <w:rFonts w:eastAsia="仿宋"/>
        </w:rPr>
      </w:pPr>
      <w:r>
        <w:rPr>
          <w:rFonts w:eastAsia="仿宋"/>
          <w:color w:val="FF0000"/>
          <w:sz w:val="28"/>
          <w:szCs w:val="28"/>
        </w:rPr>
        <w:fldChar w:fldCharType="begin"/>
      </w:r>
      <w:r>
        <w:rPr>
          <w:rFonts w:eastAsia="仿宋"/>
          <w:color w:val="FF0000"/>
          <w:sz w:val="28"/>
          <w:szCs w:val="28"/>
        </w:rPr>
        <w:instrText xml:space="preserve"> TOC \o "1-2" \h \z \u </w:instrText>
      </w:r>
      <w:r>
        <w:rPr>
          <w:rFonts w:eastAsia="仿宋"/>
          <w:color w:val="FF0000"/>
          <w:sz w:val="28"/>
          <w:szCs w:val="28"/>
        </w:rPr>
        <w:fldChar w:fldCharType="separate"/>
      </w:r>
      <w:r>
        <w:fldChar w:fldCharType="begin"/>
      </w:r>
      <w:r>
        <w:instrText xml:space="preserve"> HYPERLINK \l "_Toc27059" </w:instrText>
      </w:r>
      <w:r>
        <w:fldChar w:fldCharType="separate"/>
      </w:r>
      <w:r>
        <w:rPr>
          <w:rFonts w:eastAsia="仿宋"/>
        </w:rPr>
        <w:t>1 总则</w:t>
      </w:r>
      <w:r>
        <w:rPr>
          <w:rFonts w:eastAsia="仿宋"/>
        </w:rPr>
        <w:tab/>
      </w:r>
      <w:r>
        <w:rPr>
          <w:rFonts w:eastAsia="仿宋"/>
        </w:rPr>
        <w:fldChar w:fldCharType="begin"/>
      </w:r>
      <w:r>
        <w:rPr>
          <w:rFonts w:eastAsia="仿宋"/>
        </w:rPr>
        <w:instrText xml:space="preserve"> PAGEREF _Toc27059 \h </w:instrText>
      </w:r>
      <w:r>
        <w:rPr>
          <w:rFonts w:eastAsia="仿宋"/>
        </w:rPr>
        <w:fldChar w:fldCharType="separate"/>
      </w:r>
      <w:r>
        <w:rPr>
          <w:rFonts w:eastAsia="仿宋"/>
        </w:rPr>
        <w:t>1</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"_Toc3947" </w:instrText>
      </w:r>
      <w:r>
        <w:fldChar w:fldCharType="separate"/>
      </w:r>
      <w:r>
        <w:rPr>
          <w:rFonts w:eastAsia="仿宋"/>
        </w:rPr>
        <w:t>1.1 编制目的</w:t>
      </w:r>
      <w:r>
        <w:rPr>
          <w:rFonts w:eastAsia="仿宋"/>
        </w:rPr>
        <w:tab/>
      </w:r>
      <w:r>
        <w:rPr>
          <w:rFonts w:eastAsia="仿宋"/>
        </w:rPr>
        <w:fldChar w:fldCharType="begin"/>
      </w:r>
      <w:r>
        <w:rPr>
          <w:rFonts w:eastAsia="仿宋"/>
        </w:rPr>
        <w:instrText xml:space="preserve"> PAGEREF _Toc3947 \h </w:instrText>
      </w:r>
      <w:r>
        <w:rPr>
          <w:rFonts w:eastAsia="仿宋"/>
        </w:rPr>
        <w:fldChar w:fldCharType="separate"/>
      </w:r>
      <w:r>
        <w:rPr>
          <w:rFonts w:eastAsia="仿宋"/>
        </w:rPr>
        <w:t>1</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"_Toc16906" </w:instrText>
      </w:r>
      <w:r>
        <w:fldChar w:fldCharType="separate"/>
      </w:r>
      <w:r>
        <w:rPr>
          <w:rFonts w:eastAsia="仿宋"/>
        </w:rPr>
        <w:t>1.2 编制依据</w:t>
      </w:r>
      <w:r>
        <w:rPr>
          <w:rFonts w:eastAsia="仿宋"/>
        </w:rPr>
        <w:tab/>
      </w:r>
      <w:r>
        <w:rPr>
          <w:rFonts w:eastAsia="仿宋"/>
        </w:rPr>
        <w:fldChar w:fldCharType="begin"/>
      </w:r>
      <w:r>
        <w:rPr>
          <w:rFonts w:eastAsia="仿宋"/>
        </w:rPr>
        <w:instrText xml:space="preserve"> PAGEREF _Toc16906 \h </w:instrText>
      </w:r>
      <w:r>
        <w:rPr>
          <w:rFonts w:eastAsia="仿宋"/>
        </w:rPr>
        <w:fldChar w:fldCharType="separate"/>
      </w:r>
      <w:r>
        <w:rPr>
          <w:rFonts w:eastAsia="仿宋"/>
        </w:rPr>
        <w:t>1</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"_Toc3528" </w:instrText>
      </w:r>
      <w:r>
        <w:fldChar w:fldCharType="separate"/>
      </w:r>
      <w:r>
        <w:rPr>
          <w:rFonts w:eastAsia="仿宋"/>
        </w:rPr>
        <w:t>1.3 适用范围</w:t>
      </w:r>
      <w:r>
        <w:rPr>
          <w:rFonts w:eastAsia="仿宋"/>
        </w:rPr>
        <w:tab/>
      </w:r>
      <w:r>
        <w:rPr>
          <w:rFonts w:eastAsia="仿宋"/>
        </w:rPr>
        <w:fldChar w:fldCharType="begin"/>
      </w:r>
      <w:r>
        <w:rPr>
          <w:rFonts w:eastAsia="仿宋"/>
        </w:rPr>
        <w:instrText xml:space="preserve"> PAGEREF _Toc3528 \h </w:instrText>
      </w:r>
      <w:r>
        <w:rPr>
          <w:rFonts w:eastAsia="仿宋"/>
        </w:rPr>
        <w:fldChar w:fldCharType="separate"/>
      </w:r>
      <w:r>
        <w:rPr>
          <w:rFonts w:eastAsia="仿宋"/>
        </w:rPr>
        <w:t>4</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"_Toc21230" </w:instrText>
      </w:r>
      <w:r>
        <w:fldChar w:fldCharType="separate"/>
      </w:r>
      <w:r>
        <w:rPr>
          <w:rFonts w:eastAsia="仿宋"/>
        </w:rPr>
        <w:t>1.4 工作原则</w:t>
      </w:r>
      <w:r>
        <w:rPr>
          <w:rFonts w:eastAsia="仿宋"/>
        </w:rPr>
        <w:tab/>
      </w:r>
      <w:r>
        <w:rPr>
          <w:rFonts w:eastAsia="仿宋"/>
        </w:rPr>
        <w:fldChar w:fldCharType="begin"/>
      </w:r>
      <w:r>
        <w:rPr>
          <w:rFonts w:eastAsia="仿宋"/>
        </w:rPr>
        <w:instrText xml:space="preserve"> PAGEREF _Toc21230 \h </w:instrText>
      </w:r>
      <w:r>
        <w:rPr>
          <w:rFonts w:eastAsia="仿宋"/>
        </w:rPr>
        <w:fldChar w:fldCharType="separate"/>
      </w:r>
      <w:r>
        <w:rPr>
          <w:rFonts w:eastAsia="仿宋"/>
        </w:rPr>
        <w:t>7</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"_Toc20686" </w:instrText>
      </w:r>
      <w:r>
        <w:fldChar w:fldCharType="separate"/>
      </w:r>
      <w:r>
        <w:rPr>
          <w:rFonts w:eastAsia="仿宋"/>
        </w:rPr>
        <w:t>1.5 应急预案体系</w:t>
      </w:r>
      <w:r>
        <w:rPr>
          <w:rFonts w:eastAsia="仿宋"/>
        </w:rPr>
        <w:tab/>
      </w:r>
      <w:r>
        <w:rPr>
          <w:rFonts w:eastAsia="仿宋"/>
        </w:rPr>
        <w:fldChar w:fldCharType="begin"/>
      </w:r>
      <w:r>
        <w:rPr>
          <w:rFonts w:eastAsia="仿宋"/>
        </w:rPr>
        <w:instrText xml:space="preserve"> PAGEREF _Toc20686 \h </w:instrText>
      </w:r>
      <w:r>
        <w:rPr>
          <w:rFonts w:eastAsia="仿宋"/>
        </w:rPr>
        <w:fldChar w:fldCharType="separate"/>
      </w:r>
      <w:r>
        <w:rPr>
          <w:rFonts w:eastAsia="仿宋"/>
        </w:rPr>
        <w:t>8</w:t>
      </w:r>
      <w:r>
        <w:rPr>
          <w:rFonts w:eastAsia="仿宋"/>
        </w:rPr>
        <w:fldChar w:fldCharType="end"/>
      </w:r>
      <w:r>
        <w:rPr>
          <w:rFonts w:eastAsia="仿宋"/>
        </w:rPr>
        <w:fldChar w:fldCharType="end"/>
      </w:r>
    </w:p>
    <w:p>
      <w:pPr>
        <w:pStyle w:val="27"/>
        <w:tabs>
          <w:tab w:val="right" w:leader="dot" w:pos="8306"/>
        </w:tabs>
        <w:rPr>
          <w:rFonts w:eastAsia="仿宋"/>
        </w:rPr>
      </w:pPr>
      <w:r>
        <w:fldChar w:fldCharType="begin"/>
      </w:r>
      <w:r>
        <w:instrText xml:space="preserve"> HYPERLINK \l "_Toc23524" </w:instrText>
      </w:r>
      <w:r>
        <w:fldChar w:fldCharType="separate"/>
      </w:r>
      <w:r>
        <w:rPr>
          <w:rFonts w:eastAsia="仿宋"/>
        </w:rPr>
        <w:t>2 企业概况</w:t>
      </w:r>
      <w:r>
        <w:rPr>
          <w:rFonts w:eastAsia="仿宋"/>
        </w:rPr>
        <w:tab/>
      </w:r>
      <w:r>
        <w:rPr>
          <w:rFonts w:eastAsia="仿宋"/>
        </w:rPr>
        <w:fldChar w:fldCharType="begin"/>
      </w:r>
      <w:r>
        <w:rPr>
          <w:rFonts w:eastAsia="仿宋"/>
        </w:rPr>
        <w:instrText xml:space="preserve"> PAGEREF _Toc23524 \h </w:instrText>
      </w:r>
      <w:r>
        <w:rPr>
          <w:rFonts w:eastAsia="仿宋"/>
        </w:rPr>
        <w:fldChar w:fldCharType="separate"/>
      </w:r>
      <w:r>
        <w:rPr>
          <w:rFonts w:eastAsia="仿宋"/>
        </w:rPr>
        <w:t>10</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"_Toc9840" </w:instrText>
      </w:r>
      <w:r>
        <w:fldChar w:fldCharType="separate"/>
      </w:r>
      <w:r>
        <w:rPr>
          <w:rFonts w:eastAsia="仿宋"/>
        </w:rPr>
        <w:t>2.1 企业基本信息</w:t>
      </w:r>
      <w:r>
        <w:rPr>
          <w:rFonts w:eastAsia="仿宋"/>
        </w:rPr>
        <w:tab/>
      </w:r>
      <w:r>
        <w:rPr>
          <w:rFonts w:eastAsia="仿宋"/>
        </w:rPr>
        <w:fldChar w:fldCharType="begin"/>
      </w:r>
      <w:r>
        <w:rPr>
          <w:rFonts w:eastAsia="仿宋"/>
        </w:rPr>
        <w:instrText xml:space="preserve"> PAGEREF _Toc9840 \h </w:instrText>
      </w:r>
      <w:r>
        <w:rPr>
          <w:rFonts w:eastAsia="仿宋"/>
        </w:rPr>
        <w:fldChar w:fldCharType="separate"/>
      </w:r>
      <w:r>
        <w:rPr>
          <w:rFonts w:eastAsia="仿宋"/>
        </w:rPr>
        <w:t>10</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"_Toc21903" </w:instrText>
      </w:r>
      <w:r>
        <w:fldChar w:fldCharType="separate"/>
      </w:r>
      <w:r>
        <w:rPr>
          <w:rFonts w:eastAsia="仿宋"/>
        </w:rPr>
        <w:t>2.2 环境风险受体</w:t>
      </w:r>
      <w:r>
        <w:rPr>
          <w:rFonts w:eastAsia="仿宋"/>
        </w:rPr>
        <w:tab/>
      </w:r>
      <w:r>
        <w:rPr>
          <w:rFonts w:eastAsia="仿宋"/>
        </w:rPr>
        <w:fldChar w:fldCharType="begin"/>
      </w:r>
      <w:r>
        <w:rPr>
          <w:rFonts w:eastAsia="仿宋"/>
        </w:rPr>
        <w:instrText xml:space="preserve"> PAGEREF _Toc21903 \h </w:instrText>
      </w:r>
      <w:r>
        <w:rPr>
          <w:rFonts w:eastAsia="仿宋"/>
        </w:rPr>
        <w:fldChar w:fldCharType="separate"/>
      </w:r>
      <w:r>
        <w:rPr>
          <w:rFonts w:eastAsia="仿宋"/>
        </w:rPr>
        <w:t>19</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"_Toc25944" </w:instrText>
      </w:r>
      <w:r>
        <w:fldChar w:fldCharType="separate"/>
      </w:r>
      <w:r>
        <w:rPr>
          <w:rFonts w:eastAsia="仿宋"/>
        </w:rPr>
        <w:t>2.3 污染物产生、治理及排放情况</w:t>
      </w:r>
      <w:r>
        <w:rPr>
          <w:rFonts w:eastAsia="仿宋"/>
        </w:rPr>
        <w:tab/>
      </w:r>
      <w:r>
        <w:rPr>
          <w:rFonts w:eastAsia="仿宋"/>
        </w:rPr>
        <w:fldChar w:fldCharType="begin"/>
      </w:r>
      <w:r>
        <w:rPr>
          <w:rFonts w:eastAsia="仿宋"/>
        </w:rPr>
        <w:instrText xml:space="preserve"> PAGEREF _Toc25944 \h </w:instrText>
      </w:r>
      <w:r>
        <w:rPr>
          <w:rFonts w:eastAsia="仿宋"/>
        </w:rPr>
        <w:fldChar w:fldCharType="separate"/>
      </w:r>
      <w:r>
        <w:rPr>
          <w:rFonts w:eastAsia="仿宋"/>
        </w:rPr>
        <w:t>20</w:t>
      </w:r>
      <w:r>
        <w:rPr>
          <w:rFonts w:eastAsia="仿宋"/>
        </w:rPr>
        <w:fldChar w:fldCharType="end"/>
      </w:r>
      <w:r>
        <w:rPr>
          <w:rFonts w:eastAsia="仿宋"/>
        </w:rPr>
        <w:fldChar w:fldCharType="end"/>
      </w:r>
    </w:p>
    <w:p>
      <w:pPr>
        <w:pStyle w:val="27"/>
        <w:tabs>
          <w:tab w:val="right" w:leader="dot" w:pos="8306"/>
        </w:tabs>
        <w:rPr>
          <w:rFonts w:eastAsia="仿宋"/>
        </w:rPr>
      </w:pPr>
      <w:r>
        <w:fldChar w:fldCharType="begin"/>
      </w:r>
      <w:r>
        <w:instrText xml:space="preserve"> HYPERLINK \l "_Toc16958" </w:instrText>
      </w:r>
      <w:r>
        <w:fldChar w:fldCharType="separate"/>
      </w:r>
      <w:r>
        <w:rPr>
          <w:rFonts w:eastAsia="仿宋"/>
        </w:rPr>
        <w:t>3 环境污染风险分析</w:t>
      </w:r>
      <w:r>
        <w:rPr>
          <w:rFonts w:eastAsia="仿宋"/>
        </w:rPr>
        <w:tab/>
      </w:r>
      <w:r>
        <w:rPr>
          <w:rFonts w:eastAsia="仿宋"/>
        </w:rPr>
        <w:fldChar w:fldCharType="begin"/>
      </w:r>
      <w:r>
        <w:rPr>
          <w:rFonts w:eastAsia="仿宋"/>
        </w:rPr>
        <w:instrText xml:space="preserve"> PAGEREF _Toc16958 \h </w:instrText>
      </w:r>
      <w:r>
        <w:rPr>
          <w:rFonts w:eastAsia="仿宋"/>
        </w:rPr>
        <w:fldChar w:fldCharType="separate"/>
      </w:r>
      <w:r>
        <w:rPr>
          <w:rFonts w:eastAsia="仿宋"/>
        </w:rPr>
        <w:t>26</w:t>
      </w:r>
      <w:r>
        <w:rPr>
          <w:rFonts w:eastAsia="仿宋"/>
        </w:rPr>
        <w:fldChar w:fldCharType="end"/>
      </w:r>
      <w:r>
        <w:rPr>
          <w:rFonts w:eastAsia="仿宋"/>
        </w:rPr>
        <w:fldChar w:fldCharType="end"/>
      </w:r>
    </w:p>
    <w:p>
      <w:pPr>
        <w:pStyle w:val="27"/>
        <w:tabs>
          <w:tab w:val="right" w:leader="dot" w:pos="8306"/>
        </w:tabs>
        <w:rPr>
          <w:rFonts w:eastAsia="仿宋"/>
        </w:rPr>
      </w:pPr>
      <w:r>
        <w:fldChar w:fldCharType="begin"/>
      </w:r>
      <w:r>
        <w:instrText xml:space="preserve"> HYPERLINK \l "_Toc7098" </w:instrText>
      </w:r>
      <w:r>
        <w:fldChar w:fldCharType="separate"/>
      </w:r>
      <w:r>
        <w:rPr>
          <w:rFonts w:eastAsia="仿宋"/>
        </w:rPr>
        <w:t>4 应急组织机构及职责</w:t>
      </w:r>
      <w:r>
        <w:rPr>
          <w:rFonts w:eastAsia="仿宋"/>
        </w:rPr>
        <w:tab/>
      </w:r>
      <w:r>
        <w:rPr>
          <w:rFonts w:eastAsia="仿宋"/>
        </w:rPr>
        <w:fldChar w:fldCharType="begin"/>
      </w:r>
      <w:r>
        <w:rPr>
          <w:rFonts w:eastAsia="仿宋"/>
        </w:rPr>
        <w:instrText xml:space="preserve"> PAGEREF _Toc7098 \h </w:instrText>
      </w:r>
      <w:r>
        <w:rPr>
          <w:rFonts w:eastAsia="仿宋"/>
        </w:rPr>
        <w:fldChar w:fldCharType="separate"/>
      </w:r>
      <w:r>
        <w:rPr>
          <w:rFonts w:eastAsia="仿宋"/>
        </w:rPr>
        <w:t>27</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"_Toc16363" </w:instrText>
      </w:r>
      <w:r>
        <w:fldChar w:fldCharType="separate"/>
      </w:r>
      <w:r>
        <w:rPr>
          <w:rFonts w:eastAsia="仿宋"/>
        </w:rPr>
        <w:t>4.1 环境应急救援小组职责</w:t>
      </w:r>
      <w:r>
        <w:rPr>
          <w:rFonts w:eastAsia="仿宋"/>
        </w:rPr>
        <w:tab/>
      </w:r>
      <w:r>
        <w:rPr>
          <w:rFonts w:eastAsia="仿宋"/>
        </w:rPr>
        <w:fldChar w:fldCharType="begin"/>
      </w:r>
      <w:r>
        <w:rPr>
          <w:rFonts w:eastAsia="仿宋"/>
        </w:rPr>
        <w:instrText xml:space="preserve"> PAGEREF _Toc16363 \h </w:instrText>
      </w:r>
      <w:r>
        <w:rPr>
          <w:rFonts w:eastAsia="仿宋"/>
        </w:rPr>
        <w:fldChar w:fldCharType="separate"/>
      </w:r>
      <w:r>
        <w:rPr>
          <w:rFonts w:eastAsia="仿宋"/>
        </w:rPr>
        <w:t>27</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"_Toc32219" </w:instrText>
      </w:r>
      <w:r>
        <w:fldChar w:fldCharType="separate"/>
      </w:r>
      <w:r>
        <w:rPr>
          <w:rFonts w:eastAsia="仿宋"/>
        </w:rPr>
        <w:t>4.2 指挥机构组成</w:t>
      </w:r>
      <w:r>
        <w:rPr>
          <w:rFonts w:eastAsia="仿宋"/>
        </w:rPr>
        <w:tab/>
      </w:r>
      <w:r>
        <w:rPr>
          <w:rFonts w:eastAsia="仿宋"/>
        </w:rPr>
        <w:fldChar w:fldCharType="begin"/>
      </w:r>
      <w:r>
        <w:rPr>
          <w:rFonts w:eastAsia="仿宋"/>
        </w:rPr>
        <w:instrText xml:space="preserve"> PAGEREF _Toc32219 \h </w:instrText>
      </w:r>
      <w:r>
        <w:rPr>
          <w:rFonts w:eastAsia="仿宋"/>
        </w:rPr>
        <w:fldChar w:fldCharType="separate"/>
      </w:r>
      <w:r>
        <w:rPr>
          <w:rFonts w:eastAsia="仿宋"/>
        </w:rPr>
        <w:t>28</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"_Toc20275" </w:instrText>
      </w:r>
      <w:r>
        <w:fldChar w:fldCharType="separate"/>
      </w:r>
      <w:r>
        <w:rPr>
          <w:rFonts w:eastAsia="仿宋"/>
          <w:lang w:val="zh-CN"/>
        </w:rPr>
        <w:t>4.3 应急能力评估</w:t>
      </w:r>
      <w:r>
        <w:rPr>
          <w:rFonts w:eastAsia="仿宋"/>
        </w:rPr>
        <w:tab/>
      </w:r>
      <w:r>
        <w:rPr>
          <w:rFonts w:eastAsia="仿宋"/>
        </w:rPr>
        <w:fldChar w:fldCharType="begin"/>
      </w:r>
      <w:r>
        <w:rPr>
          <w:rFonts w:eastAsia="仿宋"/>
        </w:rPr>
        <w:instrText xml:space="preserve"> PAGEREF _Toc20275 \h </w:instrText>
      </w:r>
      <w:r>
        <w:rPr>
          <w:rFonts w:eastAsia="仿宋"/>
        </w:rPr>
        <w:fldChar w:fldCharType="separate"/>
      </w:r>
      <w:r>
        <w:rPr>
          <w:rFonts w:eastAsia="仿宋"/>
        </w:rPr>
        <w:t>31</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"_Toc22949" </w:instrText>
      </w:r>
      <w:r>
        <w:fldChar w:fldCharType="separate"/>
      </w:r>
      <w:r>
        <w:rPr>
          <w:rFonts w:eastAsia="仿宋"/>
          <w:lang w:val="zh-CN"/>
        </w:rPr>
        <w:t>4.4 外部应急/救援力量</w:t>
      </w:r>
      <w:r>
        <w:rPr>
          <w:rFonts w:eastAsia="仿宋"/>
        </w:rPr>
        <w:tab/>
      </w:r>
      <w:r>
        <w:rPr>
          <w:rFonts w:eastAsia="仿宋"/>
        </w:rPr>
        <w:fldChar w:fldCharType="begin"/>
      </w:r>
      <w:r>
        <w:rPr>
          <w:rFonts w:eastAsia="仿宋"/>
        </w:rPr>
        <w:instrText xml:space="preserve"> PAGEREF _Toc22949 \h </w:instrText>
      </w:r>
      <w:r>
        <w:rPr>
          <w:rFonts w:eastAsia="仿宋"/>
        </w:rPr>
        <w:fldChar w:fldCharType="separate"/>
      </w:r>
      <w:r>
        <w:rPr>
          <w:rFonts w:eastAsia="仿宋"/>
        </w:rPr>
        <w:t>32</w:t>
      </w:r>
      <w:r>
        <w:rPr>
          <w:rFonts w:eastAsia="仿宋"/>
        </w:rPr>
        <w:fldChar w:fldCharType="end"/>
      </w:r>
      <w:r>
        <w:rPr>
          <w:rFonts w:eastAsia="仿宋"/>
        </w:rPr>
        <w:fldChar w:fldCharType="end"/>
      </w:r>
    </w:p>
    <w:p>
      <w:pPr>
        <w:pStyle w:val="27"/>
        <w:tabs>
          <w:tab w:val="right" w:leader="dot" w:pos="8306"/>
        </w:tabs>
        <w:rPr>
          <w:rFonts w:eastAsia="仿宋"/>
        </w:rPr>
      </w:pPr>
      <w:r>
        <w:fldChar w:fldCharType="begin"/>
      </w:r>
      <w:r>
        <w:instrText xml:space="preserve"> HYPERLINK \l "_Toc7951" </w:instrText>
      </w:r>
      <w:r>
        <w:fldChar w:fldCharType="separate"/>
      </w:r>
      <w:r>
        <w:rPr>
          <w:rFonts w:eastAsia="仿宋"/>
        </w:rPr>
        <w:t>5 预防与预警机制</w:t>
      </w:r>
      <w:r>
        <w:rPr>
          <w:rFonts w:eastAsia="仿宋"/>
        </w:rPr>
        <w:tab/>
      </w:r>
      <w:r>
        <w:rPr>
          <w:rFonts w:eastAsia="仿宋"/>
        </w:rPr>
        <w:fldChar w:fldCharType="begin"/>
      </w:r>
      <w:r>
        <w:rPr>
          <w:rFonts w:eastAsia="仿宋"/>
        </w:rPr>
        <w:instrText xml:space="preserve"> PAGEREF _Toc7951 \h </w:instrText>
      </w:r>
      <w:r>
        <w:rPr>
          <w:rFonts w:eastAsia="仿宋"/>
        </w:rPr>
        <w:fldChar w:fldCharType="separate"/>
      </w:r>
      <w:r>
        <w:rPr>
          <w:rFonts w:eastAsia="仿宋"/>
        </w:rPr>
        <w:t>36</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"_Toc16384" </w:instrText>
      </w:r>
      <w:r>
        <w:fldChar w:fldCharType="separate"/>
      </w:r>
      <w:r>
        <w:rPr>
          <w:rFonts w:eastAsia="仿宋"/>
        </w:rPr>
        <w:t>5.1 风险源监控</w:t>
      </w:r>
      <w:r>
        <w:rPr>
          <w:rFonts w:eastAsia="仿宋"/>
        </w:rPr>
        <w:tab/>
      </w:r>
      <w:r>
        <w:rPr>
          <w:rFonts w:eastAsia="仿宋"/>
        </w:rPr>
        <w:fldChar w:fldCharType="begin"/>
      </w:r>
      <w:r>
        <w:rPr>
          <w:rFonts w:eastAsia="仿宋"/>
        </w:rPr>
        <w:instrText xml:space="preserve"> PAGEREF _Toc16384 \h </w:instrText>
      </w:r>
      <w:r>
        <w:rPr>
          <w:rFonts w:eastAsia="仿宋"/>
        </w:rPr>
        <w:fldChar w:fldCharType="separate"/>
      </w:r>
      <w:r>
        <w:rPr>
          <w:rFonts w:eastAsia="仿宋"/>
        </w:rPr>
        <w:t>36</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"_Toc27478" </w:instrText>
      </w:r>
      <w:r>
        <w:fldChar w:fldCharType="separate"/>
      </w:r>
      <w:r>
        <w:rPr>
          <w:rFonts w:eastAsia="仿宋"/>
        </w:rPr>
        <w:t>5.2 环境风险防范措施</w:t>
      </w:r>
      <w:r>
        <w:rPr>
          <w:rFonts w:eastAsia="仿宋"/>
        </w:rPr>
        <w:tab/>
      </w:r>
      <w:r>
        <w:rPr>
          <w:rFonts w:eastAsia="仿宋"/>
        </w:rPr>
        <w:fldChar w:fldCharType="begin"/>
      </w:r>
      <w:r>
        <w:rPr>
          <w:rFonts w:eastAsia="仿宋"/>
        </w:rPr>
        <w:instrText xml:space="preserve"> PAGEREF _Toc27478 \h </w:instrText>
      </w:r>
      <w:r>
        <w:rPr>
          <w:rFonts w:eastAsia="仿宋"/>
        </w:rPr>
        <w:fldChar w:fldCharType="separate"/>
      </w:r>
      <w:r>
        <w:rPr>
          <w:rFonts w:eastAsia="仿宋"/>
        </w:rPr>
        <w:t>37</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"_Toc22981" </w:instrText>
      </w:r>
      <w:r>
        <w:fldChar w:fldCharType="separate"/>
      </w:r>
      <w:r>
        <w:rPr>
          <w:rFonts w:eastAsia="仿宋"/>
        </w:rPr>
        <w:t>5.3 预警分级</w:t>
      </w:r>
      <w:r>
        <w:rPr>
          <w:rFonts w:eastAsia="仿宋"/>
        </w:rPr>
        <w:tab/>
      </w:r>
      <w:r>
        <w:rPr>
          <w:rFonts w:eastAsia="仿宋"/>
        </w:rPr>
        <w:fldChar w:fldCharType="begin"/>
      </w:r>
      <w:r>
        <w:rPr>
          <w:rFonts w:eastAsia="仿宋"/>
        </w:rPr>
        <w:instrText xml:space="preserve"> PAGEREF _Toc22981 \h </w:instrText>
      </w:r>
      <w:r>
        <w:rPr>
          <w:rFonts w:eastAsia="仿宋"/>
        </w:rPr>
        <w:fldChar w:fldCharType="separate"/>
      </w:r>
      <w:r>
        <w:rPr>
          <w:rFonts w:eastAsia="仿宋"/>
        </w:rPr>
        <w:t>40</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"_Toc11347" </w:instrText>
      </w:r>
      <w:r>
        <w:fldChar w:fldCharType="separate"/>
      </w:r>
      <w:r>
        <w:rPr>
          <w:rFonts w:eastAsia="仿宋"/>
        </w:rPr>
        <w:t>5.4 预警及措施</w:t>
      </w:r>
      <w:r>
        <w:rPr>
          <w:rFonts w:eastAsia="仿宋"/>
        </w:rPr>
        <w:tab/>
      </w:r>
      <w:r>
        <w:rPr>
          <w:rFonts w:eastAsia="仿宋"/>
        </w:rPr>
        <w:fldChar w:fldCharType="begin"/>
      </w:r>
      <w:r>
        <w:rPr>
          <w:rFonts w:eastAsia="仿宋"/>
        </w:rPr>
        <w:instrText xml:space="preserve"> PAGEREF _Toc11347 \h </w:instrText>
      </w:r>
      <w:r>
        <w:rPr>
          <w:rFonts w:eastAsia="仿宋"/>
        </w:rPr>
        <w:fldChar w:fldCharType="separate"/>
      </w:r>
      <w:r>
        <w:rPr>
          <w:rFonts w:eastAsia="仿宋"/>
        </w:rPr>
        <w:t>41</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"_Toc19851" </w:instrText>
      </w:r>
      <w:r>
        <w:fldChar w:fldCharType="separate"/>
      </w:r>
      <w:r>
        <w:rPr>
          <w:rFonts w:eastAsia="仿宋"/>
        </w:rPr>
        <w:t>5.5 预警措施</w:t>
      </w:r>
      <w:r>
        <w:rPr>
          <w:rFonts w:eastAsia="仿宋"/>
        </w:rPr>
        <w:tab/>
      </w:r>
      <w:r>
        <w:rPr>
          <w:rFonts w:eastAsia="仿宋"/>
        </w:rPr>
        <w:fldChar w:fldCharType="begin"/>
      </w:r>
      <w:r>
        <w:rPr>
          <w:rFonts w:eastAsia="仿宋"/>
        </w:rPr>
        <w:instrText xml:space="preserve"> PAGEREF _Toc19851 \h </w:instrText>
      </w:r>
      <w:r>
        <w:rPr>
          <w:rFonts w:eastAsia="仿宋"/>
        </w:rPr>
        <w:fldChar w:fldCharType="separate"/>
      </w:r>
      <w:r>
        <w:rPr>
          <w:rFonts w:eastAsia="仿宋"/>
        </w:rPr>
        <w:t>43</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"_Toc2027" </w:instrText>
      </w:r>
      <w:r>
        <w:fldChar w:fldCharType="separate"/>
      </w:r>
      <w:r>
        <w:rPr>
          <w:rFonts w:eastAsia="仿宋"/>
        </w:rPr>
        <w:t>5.6 预警的发布与解除</w:t>
      </w:r>
      <w:r>
        <w:rPr>
          <w:rFonts w:eastAsia="仿宋"/>
        </w:rPr>
        <w:tab/>
      </w:r>
      <w:r>
        <w:rPr>
          <w:rFonts w:eastAsia="仿宋"/>
        </w:rPr>
        <w:fldChar w:fldCharType="begin"/>
      </w:r>
      <w:r>
        <w:rPr>
          <w:rFonts w:eastAsia="仿宋"/>
        </w:rPr>
        <w:instrText xml:space="preserve"> PAGEREF _Toc2027 \h </w:instrText>
      </w:r>
      <w:r>
        <w:rPr>
          <w:rFonts w:eastAsia="仿宋"/>
        </w:rPr>
        <w:fldChar w:fldCharType="separate"/>
      </w:r>
      <w:r>
        <w:rPr>
          <w:rFonts w:eastAsia="仿宋"/>
        </w:rPr>
        <w:t>44</w:t>
      </w:r>
      <w:r>
        <w:rPr>
          <w:rFonts w:eastAsia="仿宋"/>
        </w:rPr>
        <w:fldChar w:fldCharType="end"/>
      </w:r>
      <w:r>
        <w:rPr>
          <w:rFonts w:eastAsia="仿宋"/>
        </w:rPr>
        <w:fldChar w:fldCharType="end"/>
      </w:r>
    </w:p>
    <w:p>
      <w:pPr>
        <w:pStyle w:val="27"/>
        <w:tabs>
          <w:tab w:val="right" w:leader="dot" w:pos="8306"/>
        </w:tabs>
        <w:rPr>
          <w:rFonts w:eastAsia="仿宋"/>
        </w:rPr>
      </w:pPr>
      <w:r>
        <w:fldChar w:fldCharType="begin"/>
      </w:r>
      <w:r>
        <w:instrText xml:space="preserve"> HYPERLINK \l "_Toc1184" </w:instrText>
      </w:r>
      <w:r>
        <w:fldChar w:fldCharType="separate"/>
      </w:r>
      <w:r>
        <w:rPr>
          <w:rFonts w:eastAsia="仿宋"/>
        </w:rPr>
        <w:t>6 信息报告和通告</w:t>
      </w:r>
      <w:r>
        <w:rPr>
          <w:rFonts w:eastAsia="仿宋"/>
        </w:rPr>
        <w:tab/>
      </w:r>
      <w:r>
        <w:rPr>
          <w:rFonts w:eastAsia="仿宋"/>
        </w:rPr>
        <w:fldChar w:fldCharType="begin"/>
      </w:r>
      <w:r>
        <w:rPr>
          <w:rFonts w:eastAsia="仿宋"/>
        </w:rPr>
        <w:instrText xml:space="preserve"> PAGEREF _Toc1184 \h </w:instrText>
      </w:r>
      <w:r>
        <w:rPr>
          <w:rFonts w:eastAsia="仿宋"/>
        </w:rPr>
        <w:fldChar w:fldCharType="separate"/>
      </w:r>
      <w:r>
        <w:rPr>
          <w:rFonts w:eastAsia="仿宋"/>
        </w:rPr>
        <w:t>47</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"_Toc14642" </w:instrText>
      </w:r>
      <w:r>
        <w:fldChar w:fldCharType="separate"/>
      </w:r>
      <w:r>
        <w:rPr>
          <w:rFonts w:eastAsia="仿宋"/>
        </w:rPr>
        <w:t>6.1 内容上报</w:t>
      </w:r>
      <w:r>
        <w:rPr>
          <w:rFonts w:eastAsia="仿宋"/>
        </w:rPr>
        <w:tab/>
      </w:r>
      <w:r>
        <w:rPr>
          <w:rFonts w:eastAsia="仿宋"/>
        </w:rPr>
        <w:fldChar w:fldCharType="begin"/>
      </w:r>
      <w:r>
        <w:rPr>
          <w:rFonts w:eastAsia="仿宋"/>
        </w:rPr>
        <w:instrText xml:space="preserve"> PAGEREF _Toc14642 \h </w:instrText>
      </w:r>
      <w:r>
        <w:rPr>
          <w:rFonts w:eastAsia="仿宋"/>
        </w:rPr>
        <w:fldChar w:fldCharType="separate"/>
      </w:r>
      <w:r>
        <w:rPr>
          <w:rFonts w:eastAsia="仿宋"/>
        </w:rPr>
        <w:t>47</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"_Toc20704" </w:instrText>
      </w:r>
      <w:r>
        <w:fldChar w:fldCharType="separate"/>
      </w:r>
      <w:r>
        <w:rPr>
          <w:rFonts w:eastAsia="仿宋"/>
        </w:rPr>
        <w:t>6.2 信息上报</w:t>
      </w:r>
      <w:r>
        <w:rPr>
          <w:rFonts w:eastAsia="仿宋"/>
        </w:rPr>
        <w:tab/>
      </w:r>
      <w:r>
        <w:rPr>
          <w:rFonts w:eastAsia="仿宋"/>
        </w:rPr>
        <w:fldChar w:fldCharType="begin"/>
      </w:r>
      <w:r>
        <w:rPr>
          <w:rFonts w:eastAsia="仿宋"/>
        </w:rPr>
        <w:instrText xml:space="preserve"> PAGEREF _Toc20704 \h </w:instrText>
      </w:r>
      <w:r>
        <w:rPr>
          <w:rFonts w:eastAsia="仿宋"/>
        </w:rPr>
        <w:fldChar w:fldCharType="separate"/>
      </w:r>
      <w:r>
        <w:rPr>
          <w:rFonts w:eastAsia="仿宋"/>
        </w:rPr>
        <w:t>48</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"_Toc2392" </w:instrText>
      </w:r>
      <w:r>
        <w:fldChar w:fldCharType="separate"/>
      </w:r>
      <w:r>
        <w:rPr>
          <w:rFonts w:eastAsia="仿宋"/>
        </w:rPr>
        <w:t>6.3 信息通报的联络方式</w:t>
      </w:r>
      <w:r>
        <w:rPr>
          <w:rFonts w:eastAsia="仿宋"/>
        </w:rPr>
        <w:tab/>
      </w:r>
      <w:r>
        <w:rPr>
          <w:rFonts w:eastAsia="仿宋"/>
        </w:rPr>
        <w:fldChar w:fldCharType="begin"/>
      </w:r>
      <w:r>
        <w:rPr>
          <w:rFonts w:eastAsia="仿宋"/>
        </w:rPr>
        <w:instrText xml:space="preserve"> PAGEREF _Toc2392 \h </w:instrText>
      </w:r>
      <w:r>
        <w:rPr>
          <w:rFonts w:eastAsia="仿宋"/>
        </w:rPr>
        <w:fldChar w:fldCharType="separate"/>
      </w:r>
      <w:r>
        <w:rPr>
          <w:rFonts w:eastAsia="仿宋"/>
        </w:rPr>
        <w:t>49</w:t>
      </w:r>
      <w:r>
        <w:rPr>
          <w:rFonts w:eastAsia="仿宋"/>
        </w:rPr>
        <w:fldChar w:fldCharType="end"/>
      </w:r>
      <w:r>
        <w:rPr>
          <w:rFonts w:eastAsia="仿宋"/>
        </w:rPr>
        <w:fldChar w:fldCharType="end"/>
      </w:r>
    </w:p>
    <w:p>
      <w:pPr>
        <w:pStyle w:val="27"/>
        <w:tabs>
          <w:tab w:val="right" w:leader="dot" w:pos="8306"/>
        </w:tabs>
        <w:rPr>
          <w:rFonts w:eastAsia="仿宋"/>
        </w:rPr>
      </w:pPr>
      <w:r>
        <w:fldChar w:fldCharType="begin"/>
      </w:r>
      <w:r>
        <w:instrText xml:space="preserve"> HYPERLINK \l "_Toc16983" </w:instrText>
      </w:r>
      <w:r>
        <w:fldChar w:fldCharType="separate"/>
      </w:r>
      <w:r>
        <w:rPr>
          <w:rFonts w:eastAsia="仿宋"/>
        </w:rPr>
        <w:t>7 应急响应与处置</w:t>
      </w:r>
      <w:r>
        <w:rPr>
          <w:rFonts w:eastAsia="仿宋"/>
        </w:rPr>
        <w:tab/>
      </w:r>
      <w:r>
        <w:rPr>
          <w:rFonts w:eastAsia="仿宋"/>
        </w:rPr>
        <w:fldChar w:fldCharType="begin"/>
      </w:r>
      <w:r>
        <w:rPr>
          <w:rFonts w:eastAsia="仿宋"/>
        </w:rPr>
        <w:instrText xml:space="preserve"> PAGEREF _Toc16983 \h </w:instrText>
      </w:r>
      <w:r>
        <w:rPr>
          <w:rFonts w:eastAsia="仿宋"/>
        </w:rPr>
        <w:fldChar w:fldCharType="separate"/>
      </w:r>
      <w:r>
        <w:rPr>
          <w:rFonts w:eastAsia="仿宋"/>
        </w:rPr>
        <w:t>50</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"_Toc3416" </w:instrText>
      </w:r>
      <w:r>
        <w:fldChar w:fldCharType="separate"/>
      </w:r>
      <w:r>
        <w:rPr>
          <w:rFonts w:eastAsia="仿宋"/>
        </w:rPr>
        <w:t>7.1 应急响应分级</w:t>
      </w:r>
      <w:r>
        <w:rPr>
          <w:rFonts w:eastAsia="仿宋"/>
        </w:rPr>
        <w:tab/>
      </w:r>
      <w:r>
        <w:rPr>
          <w:rFonts w:eastAsia="仿宋"/>
        </w:rPr>
        <w:fldChar w:fldCharType="begin"/>
      </w:r>
      <w:r>
        <w:rPr>
          <w:rFonts w:eastAsia="仿宋"/>
        </w:rPr>
        <w:instrText xml:space="preserve"> PAGEREF _Toc3416 \h </w:instrText>
      </w:r>
      <w:r>
        <w:rPr>
          <w:rFonts w:eastAsia="仿宋"/>
        </w:rPr>
        <w:fldChar w:fldCharType="separate"/>
      </w:r>
      <w:r>
        <w:rPr>
          <w:rFonts w:eastAsia="仿宋"/>
        </w:rPr>
        <w:t>50</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"_Toc12998" </w:instrText>
      </w:r>
      <w:r>
        <w:fldChar w:fldCharType="separate"/>
      </w:r>
      <w:r>
        <w:rPr>
          <w:rFonts w:eastAsia="仿宋"/>
        </w:rPr>
        <w:t>7.2 响应程序</w:t>
      </w:r>
      <w:r>
        <w:rPr>
          <w:rFonts w:eastAsia="仿宋"/>
        </w:rPr>
        <w:tab/>
      </w:r>
      <w:r>
        <w:rPr>
          <w:rFonts w:eastAsia="仿宋"/>
        </w:rPr>
        <w:fldChar w:fldCharType="begin"/>
      </w:r>
      <w:r>
        <w:rPr>
          <w:rFonts w:eastAsia="仿宋"/>
        </w:rPr>
        <w:instrText xml:space="preserve"> PAGEREF _Toc12998 \h </w:instrText>
      </w:r>
      <w:r>
        <w:rPr>
          <w:rFonts w:eastAsia="仿宋"/>
        </w:rPr>
        <w:fldChar w:fldCharType="separate"/>
      </w:r>
      <w:r>
        <w:rPr>
          <w:rFonts w:eastAsia="仿宋"/>
        </w:rPr>
        <w:t>53</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"_Toc13782" </w:instrText>
      </w:r>
      <w:r>
        <w:fldChar w:fldCharType="separate"/>
      </w:r>
      <w:r>
        <w:rPr>
          <w:rFonts w:eastAsia="仿宋"/>
        </w:rPr>
        <w:t>7.3 应急响应程序</w:t>
      </w:r>
      <w:r>
        <w:rPr>
          <w:rFonts w:eastAsia="仿宋"/>
        </w:rPr>
        <w:tab/>
      </w:r>
      <w:r>
        <w:rPr>
          <w:rFonts w:eastAsia="仿宋"/>
        </w:rPr>
        <w:fldChar w:fldCharType="begin"/>
      </w:r>
      <w:r>
        <w:rPr>
          <w:rFonts w:eastAsia="仿宋"/>
        </w:rPr>
        <w:instrText xml:space="preserve"> PAGEREF _Toc13782 \h </w:instrText>
      </w:r>
      <w:r>
        <w:rPr>
          <w:rFonts w:eastAsia="仿宋"/>
        </w:rPr>
        <w:fldChar w:fldCharType="separate"/>
      </w:r>
      <w:r>
        <w:rPr>
          <w:rFonts w:eastAsia="仿宋"/>
        </w:rPr>
        <w:t>54</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"_Toc32393" </w:instrText>
      </w:r>
      <w:r>
        <w:fldChar w:fldCharType="separate"/>
      </w:r>
      <w:r>
        <w:rPr>
          <w:rFonts w:eastAsia="仿宋"/>
        </w:rPr>
        <w:t>7.4 配合有关部门应急响应</w:t>
      </w:r>
      <w:r>
        <w:rPr>
          <w:rFonts w:eastAsia="仿宋"/>
        </w:rPr>
        <w:tab/>
      </w:r>
      <w:r>
        <w:rPr>
          <w:rFonts w:eastAsia="仿宋"/>
        </w:rPr>
        <w:fldChar w:fldCharType="begin"/>
      </w:r>
      <w:r>
        <w:rPr>
          <w:rFonts w:eastAsia="仿宋"/>
        </w:rPr>
        <w:instrText xml:space="preserve"> PAGEREF _Toc32393 \h </w:instrText>
      </w:r>
      <w:r>
        <w:rPr>
          <w:rFonts w:eastAsia="仿宋"/>
        </w:rPr>
        <w:fldChar w:fldCharType="separate"/>
      </w:r>
      <w:r>
        <w:rPr>
          <w:rFonts w:eastAsia="仿宋"/>
        </w:rPr>
        <w:t>59</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"_Toc27389" </w:instrText>
      </w:r>
      <w:r>
        <w:fldChar w:fldCharType="separate"/>
      </w:r>
      <w:r>
        <w:rPr>
          <w:rFonts w:eastAsia="仿宋"/>
        </w:rPr>
        <w:t>7.5 现场处置</w:t>
      </w:r>
      <w:r>
        <w:rPr>
          <w:rFonts w:eastAsia="仿宋"/>
        </w:rPr>
        <w:tab/>
      </w:r>
      <w:r>
        <w:rPr>
          <w:rFonts w:eastAsia="仿宋"/>
        </w:rPr>
        <w:fldChar w:fldCharType="begin"/>
      </w:r>
      <w:r>
        <w:rPr>
          <w:rFonts w:eastAsia="仿宋"/>
        </w:rPr>
        <w:instrText xml:space="preserve"> PAGEREF _Toc27389 \h </w:instrText>
      </w:r>
      <w:r>
        <w:rPr>
          <w:rFonts w:eastAsia="仿宋"/>
        </w:rPr>
        <w:fldChar w:fldCharType="separate"/>
      </w:r>
      <w:r>
        <w:rPr>
          <w:rFonts w:eastAsia="仿宋"/>
        </w:rPr>
        <w:t>59</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"_Toc23916" </w:instrText>
      </w:r>
      <w:r>
        <w:fldChar w:fldCharType="separate"/>
      </w:r>
      <w:r>
        <w:rPr>
          <w:rFonts w:eastAsia="仿宋"/>
        </w:rPr>
        <w:t>7.6 应急监测</w:t>
      </w:r>
      <w:r>
        <w:rPr>
          <w:rFonts w:eastAsia="仿宋"/>
        </w:rPr>
        <w:tab/>
      </w:r>
      <w:r>
        <w:rPr>
          <w:rFonts w:eastAsia="仿宋"/>
        </w:rPr>
        <w:fldChar w:fldCharType="begin"/>
      </w:r>
      <w:r>
        <w:rPr>
          <w:rFonts w:eastAsia="仿宋"/>
        </w:rPr>
        <w:instrText xml:space="preserve"> PAGEREF _Toc23916 \h </w:instrText>
      </w:r>
      <w:r>
        <w:rPr>
          <w:rFonts w:eastAsia="仿宋"/>
        </w:rPr>
        <w:fldChar w:fldCharType="separate"/>
      </w:r>
      <w:r>
        <w:rPr>
          <w:rFonts w:eastAsia="仿宋"/>
        </w:rPr>
        <w:t>68</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"_Toc31852" </w:instrText>
      </w:r>
      <w:r>
        <w:fldChar w:fldCharType="separate"/>
      </w:r>
      <w:r>
        <w:rPr>
          <w:rFonts w:eastAsia="仿宋"/>
        </w:rPr>
        <w:t>7.7 信息报送和信息发布</w:t>
      </w:r>
      <w:r>
        <w:rPr>
          <w:rFonts w:eastAsia="仿宋"/>
        </w:rPr>
        <w:tab/>
      </w:r>
      <w:r>
        <w:rPr>
          <w:rFonts w:eastAsia="仿宋"/>
        </w:rPr>
        <w:fldChar w:fldCharType="begin"/>
      </w:r>
      <w:r>
        <w:rPr>
          <w:rFonts w:eastAsia="仿宋"/>
        </w:rPr>
        <w:instrText xml:space="preserve"> PAGEREF _Toc31852 \h </w:instrText>
      </w:r>
      <w:r>
        <w:rPr>
          <w:rFonts w:eastAsia="仿宋"/>
        </w:rPr>
        <w:fldChar w:fldCharType="separate"/>
      </w:r>
      <w:r>
        <w:rPr>
          <w:rFonts w:eastAsia="仿宋"/>
        </w:rPr>
        <w:t>79</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"_Toc9076" </w:instrText>
      </w:r>
      <w:r>
        <w:fldChar w:fldCharType="separate"/>
      </w:r>
      <w:r>
        <w:rPr>
          <w:rFonts w:eastAsia="仿宋"/>
        </w:rPr>
        <w:t>7.8 应急结束</w:t>
      </w:r>
      <w:r>
        <w:rPr>
          <w:rFonts w:eastAsia="仿宋"/>
        </w:rPr>
        <w:tab/>
      </w:r>
      <w:r>
        <w:rPr>
          <w:rFonts w:eastAsia="仿宋"/>
        </w:rPr>
        <w:fldChar w:fldCharType="begin"/>
      </w:r>
      <w:r>
        <w:rPr>
          <w:rFonts w:eastAsia="仿宋"/>
        </w:rPr>
        <w:instrText xml:space="preserve"> PAGEREF _Toc9076 \h </w:instrText>
      </w:r>
      <w:r>
        <w:rPr>
          <w:rFonts w:eastAsia="仿宋"/>
        </w:rPr>
        <w:fldChar w:fldCharType="separate"/>
      </w:r>
      <w:r>
        <w:rPr>
          <w:rFonts w:eastAsia="仿宋"/>
        </w:rPr>
        <w:t>79</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"_Toc11634" </w:instrText>
      </w:r>
      <w:r>
        <w:fldChar w:fldCharType="separate"/>
      </w:r>
      <w:r>
        <w:rPr>
          <w:rFonts w:eastAsia="仿宋"/>
        </w:rPr>
        <w:t>7.9 应急终止程序</w:t>
      </w:r>
      <w:r>
        <w:rPr>
          <w:rFonts w:eastAsia="仿宋"/>
        </w:rPr>
        <w:tab/>
      </w:r>
      <w:r>
        <w:rPr>
          <w:rFonts w:eastAsia="仿宋"/>
        </w:rPr>
        <w:fldChar w:fldCharType="begin"/>
      </w:r>
      <w:r>
        <w:rPr>
          <w:rFonts w:eastAsia="仿宋"/>
        </w:rPr>
        <w:instrText xml:space="preserve"> PAGEREF _Toc11634 \h </w:instrText>
      </w:r>
      <w:r>
        <w:rPr>
          <w:rFonts w:eastAsia="仿宋"/>
        </w:rPr>
        <w:fldChar w:fldCharType="separate"/>
      </w:r>
      <w:r>
        <w:rPr>
          <w:rFonts w:eastAsia="仿宋"/>
        </w:rPr>
        <w:t>79</w:t>
      </w:r>
      <w:r>
        <w:rPr>
          <w:rFonts w:eastAsia="仿宋"/>
        </w:rPr>
        <w:fldChar w:fldCharType="end"/>
      </w:r>
      <w:r>
        <w:rPr>
          <w:rFonts w:eastAsia="仿宋"/>
        </w:rPr>
        <w:fldChar w:fldCharType="end"/>
      </w:r>
    </w:p>
    <w:p>
      <w:pPr>
        <w:pStyle w:val="27"/>
        <w:tabs>
          <w:tab w:val="right" w:leader="dot" w:pos="8306"/>
        </w:tabs>
        <w:rPr>
          <w:rFonts w:eastAsia="仿宋"/>
        </w:rPr>
      </w:pPr>
      <w:r>
        <w:fldChar w:fldCharType="begin"/>
      </w:r>
      <w:r>
        <w:instrText xml:space="preserve"> HYPERLINK \l "_Toc12458" </w:instrText>
      </w:r>
      <w:r>
        <w:fldChar w:fldCharType="separate"/>
      </w:r>
      <w:r>
        <w:rPr>
          <w:rFonts w:eastAsia="仿宋"/>
        </w:rPr>
        <w:t>8 后期处置</w:t>
      </w:r>
      <w:r>
        <w:rPr>
          <w:rFonts w:eastAsia="仿宋"/>
        </w:rPr>
        <w:tab/>
      </w:r>
      <w:r>
        <w:rPr>
          <w:rFonts w:eastAsia="仿宋"/>
        </w:rPr>
        <w:fldChar w:fldCharType="begin"/>
      </w:r>
      <w:r>
        <w:rPr>
          <w:rFonts w:eastAsia="仿宋"/>
        </w:rPr>
        <w:instrText xml:space="preserve"> PAGEREF _Toc12458 \h </w:instrText>
      </w:r>
      <w:r>
        <w:rPr>
          <w:rFonts w:eastAsia="仿宋"/>
        </w:rPr>
        <w:fldChar w:fldCharType="separate"/>
      </w:r>
      <w:r>
        <w:rPr>
          <w:rFonts w:eastAsia="仿宋"/>
        </w:rPr>
        <w:t>82</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"_Toc10270" </w:instrText>
      </w:r>
      <w:r>
        <w:fldChar w:fldCharType="separate"/>
      </w:r>
      <w:r>
        <w:rPr>
          <w:rFonts w:eastAsia="仿宋"/>
        </w:rPr>
        <w:t>8.1 善后处置</w:t>
      </w:r>
      <w:r>
        <w:rPr>
          <w:rFonts w:eastAsia="仿宋"/>
        </w:rPr>
        <w:tab/>
      </w:r>
      <w:r>
        <w:rPr>
          <w:rFonts w:eastAsia="仿宋"/>
        </w:rPr>
        <w:fldChar w:fldCharType="begin"/>
      </w:r>
      <w:r>
        <w:rPr>
          <w:rFonts w:eastAsia="仿宋"/>
        </w:rPr>
        <w:instrText xml:space="preserve"> PAGEREF _Toc10270 \h </w:instrText>
      </w:r>
      <w:r>
        <w:rPr>
          <w:rFonts w:eastAsia="仿宋"/>
        </w:rPr>
        <w:fldChar w:fldCharType="separate"/>
      </w:r>
      <w:r>
        <w:rPr>
          <w:rFonts w:eastAsia="仿宋"/>
        </w:rPr>
        <w:t>82</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"_Toc20573" </w:instrText>
      </w:r>
      <w:r>
        <w:fldChar w:fldCharType="separate"/>
      </w:r>
      <w:r>
        <w:rPr>
          <w:rFonts w:eastAsia="仿宋"/>
        </w:rPr>
        <w:t>8.2 次生灾害防范</w:t>
      </w:r>
      <w:r>
        <w:rPr>
          <w:rFonts w:eastAsia="仿宋"/>
        </w:rPr>
        <w:tab/>
      </w:r>
      <w:r>
        <w:rPr>
          <w:rFonts w:eastAsia="仿宋"/>
        </w:rPr>
        <w:fldChar w:fldCharType="begin"/>
      </w:r>
      <w:r>
        <w:rPr>
          <w:rFonts w:eastAsia="仿宋"/>
        </w:rPr>
        <w:instrText xml:space="preserve"> PAGEREF _Toc20573 \h </w:instrText>
      </w:r>
      <w:r>
        <w:rPr>
          <w:rFonts w:eastAsia="仿宋"/>
        </w:rPr>
        <w:fldChar w:fldCharType="separate"/>
      </w:r>
      <w:r>
        <w:rPr>
          <w:rFonts w:eastAsia="仿宋"/>
        </w:rPr>
        <w:t>84</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"_Toc13817" </w:instrText>
      </w:r>
      <w:r>
        <w:fldChar w:fldCharType="separate"/>
      </w:r>
      <w:r>
        <w:rPr>
          <w:rFonts w:eastAsia="仿宋"/>
        </w:rPr>
        <w:t>8.3 调查和评估</w:t>
      </w:r>
      <w:r>
        <w:rPr>
          <w:rFonts w:eastAsia="仿宋"/>
        </w:rPr>
        <w:tab/>
      </w:r>
      <w:r>
        <w:rPr>
          <w:rFonts w:eastAsia="仿宋"/>
        </w:rPr>
        <w:fldChar w:fldCharType="begin"/>
      </w:r>
      <w:r>
        <w:rPr>
          <w:rFonts w:eastAsia="仿宋"/>
        </w:rPr>
        <w:instrText xml:space="preserve"> PAGEREF _Toc13817 \h </w:instrText>
      </w:r>
      <w:r>
        <w:rPr>
          <w:rFonts w:eastAsia="仿宋"/>
        </w:rPr>
        <w:fldChar w:fldCharType="separate"/>
      </w:r>
      <w:r>
        <w:rPr>
          <w:rFonts w:eastAsia="仿宋"/>
        </w:rPr>
        <w:t>84</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"_Toc2952" </w:instrText>
      </w:r>
      <w:r>
        <w:fldChar w:fldCharType="separate"/>
      </w:r>
      <w:r>
        <w:rPr>
          <w:rFonts w:eastAsia="仿宋"/>
        </w:rPr>
        <w:t>8.4 保险</w:t>
      </w:r>
      <w:r>
        <w:rPr>
          <w:rFonts w:eastAsia="仿宋"/>
        </w:rPr>
        <w:tab/>
      </w:r>
      <w:r>
        <w:rPr>
          <w:rFonts w:eastAsia="仿宋"/>
        </w:rPr>
        <w:fldChar w:fldCharType="begin"/>
      </w:r>
      <w:r>
        <w:rPr>
          <w:rFonts w:eastAsia="仿宋"/>
        </w:rPr>
        <w:instrText xml:space="preserve"> PAGEREF _Toc2952 \h </w:instrText>
      </w:r>
      <w:r>
        <w:rPr>
          <w:rFonts w:eastAsia="仿宋"/>
        </w:rPr>
        <w:fldChar w:fldCharType="separate"/>
      </w:r>
      <w:r>
        <w:rPr>
          <w:rFonts w:eastAsia="仿宋"/>
        </w:rPr>
        <w:t>84</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"_Toc21346" </w:instrText>
      </w:r>
      <w:r>
        <w:fldChar w:fldCharType="separate"/>
      </w:r>
      <w:r>
        <w:rPr>
          <w:rFonts w:eastAsia="仿宋"/>
        </w:rPr>
        <w:t>8.5 工作总结与评价</w:t>
      </w:r>
      <w:r>
        <w:rPr>
          <w:rFonts w:eastAsia="仿宋"/>
        </w:rPr>
        <w:tab/>
      </w:r>
      <w:r>
        <w:rPr>
          <w:rFonts w:eastAsia="仿宋"/>
        </w:rPr>
        <w:fldChar w:fldCharType="begin"/>
      </w:r>
      <w:r>
        <w:rPr>
          <w:rFonts w:eastAsia="仿宋"/>
        </w:rPr>
        <w:instrText xml:space="preserve"> PAGEREF _Toc21346 \h </w:instrText>
      </w:r>
      <w:r>
        <w:rPr>
          <w:rFonts w:eastAsia="仿宋"/>
        </w:rPr>
        <w:fldChar w:fldCharType="separate"/>
      </w:r>
      <w:r>
        <w:rPr>
          <w:rFonts w:eastAsia="仿宋"/>
        </w:rPr>
        <w:t>85</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"_Toc20274" </w:instrText>
      </w:r>
      <w:r>
        <w:fldChar w:fldCharType="separate"/>
      </w:r>
      <w:r>
        <w:rPr>
          <w:rFonts w:eastAsia="仿宋"/>
        </w:rPr>
        <w:t>8.6 恢复生产</w:t>
      </w:r>
      <w:r>
        <w:rPr>
          <w:rFonts w:eastAsia="仿宋"/>
        </w:rPr>
        <w:tab/>
      </w:r>
      <w:r>
        <w:rPr>
          <w:rFonts w:eastAsia="仿宋"/>
        </w:rPr>
        <w:fldChar w:fldCharType="begin"/>
      </w:r>
      <w:r>
        <w:rPr>
          <w:rFonts w:eastAsia="仿宋"/>
        </w:rPr>
        <w:instrText xml:space="preserve"> PAGEREF _Toc20274 \h </w:instrText>
      </w:r>
      <w:r>
        <w:rPr>
          <w:rFonts w:eastAsia="仿宋"/>
        </w:rPr>
        <w:fldChar w:fldCharType="separate"/>
      </w:r>
      <w:r>
        <w:rPr>
          <w:rFonts w:eastAsia="仿宋"/>
        </w:rPr>
        <w:t>85</w:t>
      </w:r>
      <w:r>
        <w:rPr>
          <w:rFonts w:eastAsia="仿宋"/>
        </w:rPr>
        <w:fldChar w:fldCharType="end"/>
      </w:r>
      <w:r>
        <w:rPr>
          <w:rFonts w:eastAsia="仿宋"/>
        </w:rPr>
        <w:fldChar w:fldCharType="end"/>
      </w:r>
    </w:p>
    <w:p>
      <w:pPr>
        <w:pStyle w:val="27"/>
        <w:tabs>
          <w:tab w:val="right" w:leader="dot" w:pos="8306"/>
        </w:tabs>
        <w:rPr>
          <w:rFonts w:eastAsia="仿宋"/>
        </w:rPr>
      </w:pPr>
      <w:r>
        <w:fldChar w:fldCharType="begin"/>
      </w:r>
      <w:r>
        <w:instrText xml:space="preserve"> HYPERLINK \l "_Toc3844" </w:instrText>
      </w:r>
      <w:r>
        <w:fldChar w:fldCharType="separate"/>
      </w:r>
      <w:r>
        <w:rPr>
          <w:rFonts w:eastAsia="仿宋"/>
        </w:rPr>
        <w:t>9 应急保障</w:t>
      </w:r>
      <w:r>
        <w:rPr>
          <w:rFonts w:eastAsia="仿宋"/>
        </w:rPr>
        <w:tab/>
      </w:r>
      <w:r>
        <w:rPr>
          <w:rFonts w:eastAsia="仿宋"/>
        </w:rPr>
        <w:fldChar w:fldCharType="begin"/>
      </w:r>
      <w:r>
        <w:rPr>
          <w:rFonts w:eastAsia="仿宋"/>
        </w:rPr>
        <w:instrText xml:space="preserve"> PAGEREF _Toc3844 \h </w:instrText>
      </w:r>
      <w:r>
        <w:rPr>
          <w:rFonts w:eastAsia="仿宋"/>
        </w:rPr>
        <w:fldChar w:fldCharType="separate"/>
      </w:r>
      <w:r>
        <w:rPr>
          <w:rFonts w:eastAsia="仿宋"/>
        </w:rPr>
        <w:t>86</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"_Toc12243" </w:instrText>
      </w:r>
      <w:r>
        <w:fldChar w:fldCharType="separate"/>
      </w:r>
      <w:r>
        <w:rPr>
          <w:rFonts w:eastAsia="仿宋"/>
        </w:rPr>
        <w:t>9.1 通讯与信息保障</w:t>
      </w:r>
      <w:r>
        <w:rPr>
          <w:rFonts w:eastAsia="仿宋"/>
        </w:rPr>
        <w:tab/>
      </w:r>
      <w:r>
        <w:rPr>
          <w:rFonts w:eastAsia="仿宋"/>
        </w:rPr>
        <w:fldChar w:fldCharType="begin"/>
      </w:r>
      <w:r>
        <w:rPr>
          <w:rFonts w:eastAsia="仿宋"/>
        </w:rPr>
        <w:instrText xml:space="preserve"> PAGEREF _Toc12243 \h </w:instrText>
      </w:r>
      <w:r>
        <w:rPr>
          <w:rFonts w:eastAsia="仿宋"/>
        </w:rPr>
        <w:fldChar w:fldCharType="separate"/>
      </w:r>
      <w:r>
        <w:rPr>
          <w:rFonts w:eastAsia="仿宋"/>
        </w:rPr>
        <w:t>86</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"_Toc3439" </w:instrText>
      </w:r>
      <w:r>
        <w:fldChar w:fldCharType="separate"/>
      </w:r>
      <w:r>
        <w:rPr>
          <w:rFonts w:eastAsia="仿宋"/>
        </w:rPr>
        <w:t>9.2 资金保障</w:t>
      </w:r>
      <w:r>
        <w:rPr>
          <w:rFonts w:eastAsia="仿宋"/>
        </w:rPr>
        <w:tab/>
      </w:r>
      <w:r>
        <w:rPr>
          <w:rFonts w:eastAsia="仿宋"/>
        </w:rPr>
        <w:fldChar w:fldCharType="begin"/>
      </w:r>
      <w:r>
        <w:rPr>
          <w:rFonts w:eastAsia="仿宋"/>
        </w:rPr>
        <w:instrText xml:space="preserve"> PAGEREF _Toc3439 \h </w:instrText>
      </w:r>
      <w:r>
        <w:rPr>
          <w:rFonts w:eastAsia="仿宋"/>
        </w:rPr>
        <w:fldChar w:fldCharType="separate"/>
      </w:r>
      <w:r>
        <w:rPr>
          <w:rFonts w:eastAsia="仿宋"/>
        </w:rPr>
        <w:t>86</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"_Toc19635" </w:instrText>
      </w:r>
      <w:r>
        <w:fldChar w:fldCharType="separate"/>
      </w:r>
      <w:r>
        <w:rPr>
          <w:rFonts w:eastAsia="仿宋"/>
        </w:rPr>
        <w:t>9.3 人力资源及技术保障</w:t>
      </w:r>
      <w:r>
        <w:rPr>
          <w:rFonts w:eastAsia="仿宋"/>
        </w:rPr>
        <w:tab/>
      </w:r>
      <w:r>
        <w:rPr>
          <w:rFonts w:eastAsia="仿宋"/>
        </w:rPr>
        <w:fldChar w:fldCharType="begin"/>
      </w:r>
      <w:r>
        <w:rPr>
          <w:rFonts w:eastAsia="仿宋"/>
        </w:rPr>
        <w:instrText xml:space="preserve"> PAGEREF _Toc19635 \h </w:instrText>
      </w:r>
      <w:r>
        <w:rPr>
          <w:rFonts w:eastAsia="仿宋"/>
        </w:rPr>
        <w:fldChar w:fldCharType="separate"/>
      </w:r>
      <w:r>
        <w:rPr>
          <w:rFonts w:eastAsia="仿宋"/>
        </w:rPr>
        <w:t>87</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"_Toc32272" </w:instrText>
      </w:r>
      <w:r>
        <w:fldChar w:fldCharType="separate"/>
      </w:r>
      <w:r>
        <w:rPr>
          <w:rFonts w:eastAsia="仿宋"/>
        </w:rPr>
        <w:t>9.4 物资装备保障</w:t>
      </w:r>
      <w:r>
        <w:rPr>
          <w:rFonts w:eastAsia="仿宋"/>
        </w:rPr>
        <w:tab/>
      </w:r>
      <w:r>
        <w:rPr>
          <w:rFonts w:eastAsia="仿宋"/>
        </w:rPr>
        <w:fldChar w:fldCharType="begin"/>
      </w:r>
      <w:r>
        <w:rPr>
          <w:rFonts w:eastAsia="仿宋"/>
        </w:rPr>
        <w:instrText xml:space="preserve"> PAGEREF _Toc32272 \h </w:instrText>
      </w:r>
      <w:r>
        <w:rPr>
          <w:rFonts w:eastAsia="仿宋"/>
        </w:rPr>
        <w:fldChar w:fldCharType="separate"/>
      </w:r>
      <w:r>
        <w:rPr>
          <w:rFonts w:eastAsia="仿宋"/>
        </w:rPr>
        <w:t>87</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"_Toc30249" </w:instrText>
      </w:r>
      <w:r>
        <w:fldChar w:fldCharType="separate"/>
      </w:r>
      <w:r>
        <w:rPr>
          <w:rFonts w:eastAsia="仿宋"/>
        </w:rPr>
        <w:t>9.5 其他保障</w:t>
      </w:r>
      <w:r>
        <w:rPr>
          <w:rFonts w:eastAsia="仿宋"/>
        </w:rPr>
        <w:tab/>
      </w:r>
      <w:r>
        <w:rPr>
          <w:rFonts w:eastAsia="仿宋"/>
        </w:rPr>
        <w:fldChar w:fldCharType="begin"/>
      </w:r>
      <w:r>
        <w:rPr>
          <w:rFonts w:eastAsia="仿宋"/>
        </w:rPr>
        <w:instrText xml:space="preserve"> PAGEREF _Toc30249 \h </w:instrText>
      </w:r>
      <w:r>
        <w:rPr>
          <w:rFonts w:eastAsia="仿宋"/>
        </w:rPr>
        <w:fldChar w:fldCharType="separate"/>
      </w:r>
      <w:r>
        <w:rPr>
          <w:rFonts w:eastAsia="仿宋"/>
        </w:rPr>
        <w:t>87</w:t>
      </w:r>
      <w:r>
        <w:rPr>
          <w:rFonts w:eastAsia="仿宋"/>
        </w:rPr>
        <w:fldChar w:fldCharType="end"/>
      </w:r>
      <w:r>
        <w:rPr>
          <w:rFonts w:eastAsia="仿宋"/>
        </w:rPr>
        <w:fldChar w:fldCharType="end"/>
      </w:r>
    </w:p>
    <w:p>
      <w:pPr>
        <w:pStyle w:val="27"/>
        <w:tabs>
          <w:tab w:val="right" w:leader="dot" w:pos="8306"/>
        </w:tabs>
        <w:rPr>
          <w:rFonts w:eastAsia="仿宋"/>
        </w:rPr>
      </w:pPr>
      <w:r>
        <w:fldChar w:fldCharType="begin"/>
      </w:r>
      <w:r>
        <w:instrText xml:space="preserve"> HYPERLINK \l "_Toc9744" </w:instrText>
      </w:r>
      <w:r>
        <w:fldChar w:fldCharType="separate"/>
      </w:r>
      <w:r>
        <w:rPr>
          <w:rFonts w:eastAsia="仿宋"/>
        </w:rPr>
        <w:t>10 应急预案管理</w:t>
      </w:r>
      <w:r>
        <w:rPr>
          <w:rFonts w:eastAsia="仿宋"/>
        </w:rPr>
        <w:tab/>
      </w:r>
      <w:r>
        <w:rPr>
          <w:rFonts w:eastAsia="仿宋"/>
        </w:rPr>
        <w:fldChar w:fldCharType="begin"/>
      </w:r>
      <w:r>
        <w:rPr>
          <w:rFonts w:eastAsia="仿宋"/>
        </w:rPr>
        <w:instrText xml:space="preserve"> PAGEREF _Toc9744 \h </w:instrText>
      </w:r>
      <w:r>
        <w:rPr>
          <w:rFonts w:eastAsia="仿宋"/>
        </w:rPr>
        <w:fldChar w:fldCharType="separate"/>
      </w:r>
      <w:r>
        <w:rPr>
          <w:rFonts w:eastAsia="仿宋"/>
        </w:rPr>
        <w:t>91</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"_Toc24283" </w:instrText>
      </w:r>
      <w:r>
        <w:fldChar w:fldCharType="separate"/>
      </w:r>
      <w:r>
        <w:rPr>
          <w:rFonts w:eastAsia="仿宋"/>
        </w:rPr>
        <w:t>10.1 预案培训</w:t>
      </w:r>
      <w:r>
        <w:rPr>
          <w:rFonts w:eastAsia="仿宋"/>
        </w:rPr>
        <w:tab/>
      </w:r>
      <w:r>
        <w:rPr>
          <w:rFonts w:eastAsia="仿宋"/>
        </w:rPr>
        <w:fldChar w:fldCharType="begin"/>
      </w:r>
      <w:r>
        <w:rPr>
          <w:rFonts w:eastAsia="仿宋"/>
        </w:rPr>
        <w:instrText xml:space="preserve"> PAGEREF _Toc24283 \h </w:instrText>
      </w:r>
      <w:r>
        <w:rPr>
          <w:rFonts w:eastAsia="仿宋"/>
        </w:rPr>
        <w:fldChar w:fldCharType="separate"/>
      </w:r>
      <w:r>
        <w:rPr>
          <w:rFonts w:eastAsia="仿宋"/>
        </w:rPr>
        <w:t>91</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"_Toc4713" </w:instrText>
      </w:r>
      <w:r>
        <w:fldChar w:fldCharType="separate"/>
      </w:r>
      <w:r>
        <w:rPr>
          <w:rFonts w:eastAsia="仿宋"/>
        </w:rPr>
        <w:t>10.2 演练</w:t>
      </w:r>
      <w:r>
        <w:rPr>
          <w:rFonts w:eastAsia="仿宋"/>
        </w:rPr>
        <w:tab/>
      </w:r>
      <w:r>
        <w:rPr>
          <w:rFonts w:eastAsia="仿宋"/>
        </w:rPr>
        <w:fldChar w:fldCharType="begin"/>
      </w:r>
      <w:r>
        <w:rPr>
          <w:rFonts w:eastAsia="仿宋"/>
        </w:rPr>
        <w:instrText xml:space="preserve"> PAGEREF _Toc4713 \h </w:instrText>
      </w:r>
      <w:r>
        <w:rPr>
          <w:rFonts w:eastAsia="仿宋"/>
        </w:rPr>
        <w:fldChar w:fldCharType="separate"/>
      </w:r>
      <w:r>
        <w:rPr>
          <w:rFonts w:eastAsia="仿宋"/>
        </w:rPr>
        <w:t>93</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"_Toc31714" </w:instrText>
      </w:r>
      <w:r>
        <w:fldChar w:fldCharType="separate"/>
      </w:r>
      <w:r>
        <w:rPr>
          <w:rFonts w:eastAsia="仿宋"/>
        </w:rPr>
        <w:t>10.3 责任与奖惩</w:t>
      </w:r>
      <w:r>
        <w:rPr>
          <w:rFonts w:eastAsia="仿宋"/>
        </w:rPr>
        <w:tab/>
      </w:r>
      <w:r>
        <w:rPr>
          <w:rFonts w:eastAsia="仿宋"/>
        </w:rPr>
        <w:fldChar w:fldCharType="begin"/>
      </w:r>
      <w:r>
        <w:rPr>
          <w:rFonts w:eastAsia="仿宋"/>
        </w:rPr>
        <w:instrText xml:space="preserve"> PAGEREF _Toc31714 \h </w:instrText>
      </w:r>
      <w:r>
        <w:rPr>
          <w:rFonts w:eastAsia="仿宋"/>
        </w:rPr>
        <w:fldChar w:fldCharType="separate"/>
      </w:r>
      <w:r>
        <w:rPr>
          <w:rFonts w:eastAsia="仿宋"/>
        </w:rPr>
        <w:t>97</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"_Toc6459" </w:instrText>
      </w:r>
      <w:r>
        <w:fldChar w:fldCharType="separate"/>
      </w:r>
      <w:r>
        <w:rPr>
          <w:rFonts w:eastAsia="仿宋"/>
        </w:rPr>
        <w:t>10.4 预案的评审、备案、发布</w:t>
      </w:r>
      <w:r>
        <w:rPr>
          <w:rFonts w:eastAsia="仿宋"/>
        </w:rPr>
        <w:tab/>
      </w:r>
      <w:r>
        <w:rPr>
          <w:rFonts w:eastAsia="仿宋"/>
        </w:rPr>
        <w:fldChar w:fldCharType="begin"/>
      </w:r>
      <w:r>
        <w:rPr>
          <w:rFonts w:eastAsia="仿宋"/>
        </w:rPr>
        <w:instrText xml:space="preserve"> PAGEREF _Toc6459 \h </w:instrText>
      </w:r>
      <w:r>
        <w:rPr>
          <w:rFonts w:eastAsia="仿宋"/>
        </w:rPr>
        <w:fldChar w:fldCharType="separate"/>
      </w:r>
      <w:r>
        <w:rPr>
          <w:rFonts w:eastAsia="仿宋"/>
        </w:rPr>
        <w:t>98</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"_Toc16721" </w:instrText>
      </w:r>
      <w:r>
        <w:fldChar w:fldCharType="separate"/>
      </w:r>
      <w:r>
        <w:rPr>
          <w:rFonts w:eastAsia="仿宋"/>
        </w:rPr>
        <w:t>10.5 预案修订</w:t>
      </w:r>
      <w:r>
        <w:rPr>
          <w:rFonts w:eastAsia="仿宋"/>
        </w:rPr>
        <w:tab/>
      </w:r>
      <w:r>
        <w:rPr>
          <w:rFonts w:eastAsia="仿宋"/>
        </w:rPr>
        <w:fldChar w:fldCharType="begin"/>
      </w:r>
      <w:r>
        <w:rPr>
          <w:rFonts w:eastAsia="仿宋"/>
        </w:rPr>
        <w:instrText xml:space="preserve"> PAGEREF _Toc16721 \h </w:instrText>
      </w:r>
      <w:r>
        <w:rPr>
          <w:rFonts w:eastAsia="仿宋"/>
        </w:rPr>
        <w:fldChar w:fldCharType="separate"/>
      </w:r>
      <w:r>
        <w:rPr>
          <w:rFonts w:eastAsia="仿宋"/>
        </w:rPr>
        <w:t>99</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"_Toc24665" </w:instrText>
      </w:r>
      <w:r>
        <w:fldChar w:fldCharType="separate"/>
      </w:r>
      <w:r>
        <w:rPr>
          <w:rFonts w:eastAsia="仿宋"/>
        </w:rPr>
        <w:t>10.6 企业差距分析与整改计划</w:t>
      </w:r>
      <w:r>
        <w:rPr>
          <w:rFonts w:eastAsia="仿宋"/>
        </w:rPr>
        <w:tab/>
      </w:r>
      <w:r>
        <w:rPr>
          <w:rFonts w:eastAsia="仿宋"/>
        </w:rPr>
        <w:fldChar w:fldCharType="begin"/>
      </w:r>
      <w:r>
        <w:rPr>
          <w:rFonts w:eastAsia="仿宋"/>
        </w:rPr>
        <w:instrText xml:space="preserve"> PAGEREF _Toc24665 \h </w:instrText>
      </w:r>
      <w:r>
        <w:rPr>
          <w:rFonts w:eastAsia="仿宋"/>
        </w:rPr>
        <w:fldChar w:fldCharType="separate"/>
      </w:r>
      <w:r>
        <w:rPr>
          <w:rFonts w:eastAsia="仿宋"/>
        </w:rPr>
        <w:t>100</w:t>
      </w:r>
      <w:r>
        <w:rPr>
          <w:rFonts w:eastAsia="仿宋"/>
        </w:rPr>
        <w:fldChar w:fldCharType="end"/>
      </w:r>
      <w:r>
        <w:rPr>
          <w:rFonts w:eastAsia="仿宋"/>
        </w:rPr>
        <w:fldChar w:fldCharType="end"/>
      </w:r>
    </w:p>
    <w:p>
      <w:pPr>
        <w:pStyle w:val="27"/>
        <w:tabs>
          <w:tab w:val="right" w:leader="dot" w:pos="8306"/>
        </w:tabs>
        <w:rPr>
          <w:rFonts w:eastAsia="仿宋"/>
        </w:rPr>
      </w:pPr>
      <w:r>
        <w:fldChar w:fldCharType="begin"/>
      </w:r>
      <w:r>
        <w:instrText xml:space="preserve"> HYPERLINK \l "_Toc13909" </w:instrText>
      </w:r>
      <w:r>
        <w:fldChar w:fldCharType="separate"/>
      </w:r>
      <w:r>
        <w:rPr>
          <w:rFonts w:eastAsia="仿宋"/>
        </w:rPr>
        <w:t>11 附则</w:t>
      </w:r>
      <w:r>
        <w:rPr>
          <w:rFonts w:eastAsia="仿宋"/>
        </w:rPr>
        <w:tab/>
      </w:r>
      <w:r>
        <w:rPr>
          <w:rFonts w:eastAsia="仿宋"/>
        </w:rPr>
        <w:fldChar w:fldCharType="begin"/>
      </w:r>
      <w:r>
        <w:rPr>
          <w:rFonts w:eastAsia="仿宋"/>
        </w:rPr>
        <w:instrText xml:space="preserve"> PAGEREF _Toc13909 \h </w:instrText>
      </w:r>
      <w:r>
        <w:rPr>
          <w:rFonts w:eastAsia="仿宋"/>
        </w:rPr>
        <w:fldChar w:fldCharType="separate"/>
      </w:r>
      <w:r>
        <w:rPr>
          <w:rFonts w:eastAsia="仿宋"/>
        </w:rPr>
        <w:t>101</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"_Toc28758" </w:instrText>
      </w:r>
      <w:r>
        <w:fldChar w:fldCharType="separate"/>
      </w:r>
      <w:r>
        <w:rPr>
          <w:rFonts w:eastAsia="仿宋"/>
        </w:rPr>
        <w:t>11.1 名词术语</w:t>
      </w:r>
      <w:r>
        <w:rPr>
          <w:rFonts w:eastAsia="仿宋"/>
        </w:rPr>
        <w:tab/>
      </w:r>
      <w:r>
        <w:rPr>
          <w:rFonts w:eastAsia="仿宋"/>
        </w:rPr>
        <w:fldChar w:fldCharType="begin"/>
      </w:r>
      <w:r>
        <w:rPr>
          <w:rFonts w:eastAsia="仿宋"/>
        </w:rPr>
        <w:instrText xml:space="preserve"> PAGEREF _Toc28758 \h </w:instrText>
      </w:r>
      <w:r>
        <w:rPr>
          <w:rFonts w:eastAsia="仿宋"/>
        </w:rPr>
        <w:fldChar w:fldCharType="separate"/>
      </w:r>
      <w:r>
        <w:rPr>
          <w:rFonts w:eastAsia="仿宋"/>
        </w:rPr>
        <w:t>101</w:t>
      </w:r>
      <w:r>
        <w:rPr>
          <w:rFonts w:eastAsia="仿宋"/>
        </w:rPr>
        <w:fldChar w:fldCharType="end"/>
      </w:r>
      <w:r>
        <w:rPr>
          <w:rFonts w:eastAsia="仿宋"/>
        </w:rPr>
        <w:fldChar w:fldCharType="end"/>
      </w:r>
    </w:p>
    <w:p>
      <w:pPr>
        <w:pStyle w:val="30"/>
        <w:tabs>
          <w:tab w:val="right" w:leader="dot" w:pos="8306"/>
        </w:tabs>
        <w:rPr>
          <w:rFonts w:eastAsia="仿宋"/>
        </w:rPr>
      </w:pPr>
      <w:r>
        <w:fldChar w:fldCharType="begin"/>
      </w:r>
      <w:r>
        <w:instrText xml:space="preserve"> HYPERLINK \l "_Toc20197" </w:instrText>
      </w:r>
      <w:r>
        <w:fldChar w:fldCharType="separate"/>
      </w:r>
      <w:r>
        <w:rPr>
          <w:rFonts w:eastAsia="仿宋"/>
        </w:rPr>
        <w:t>11.2 应急预案备案</w:t>
      </w:r>
      <w:r>
        <w:rPr>
          <w:rFonts w:eastAsia="仿宋"/>
        </w:rPr>
        <w:tab/>
      </w:r>
      <w:r>
        <w:rPr>
          <w:rFonts w:eastAsia="仿宋"/>
        </w:rPr>
        <w:fldChar w:fldCharType="begin"/>
      </w:r>
      <w:r>
        <w:rPr>
          <w:rFonts w:eastAsia="仿宋"/>
        </w:rPr>
        <w:instrText xml:space="preserve"> PAGEREF _Toc20197 \h </w:instrText>
      </w:r>
      <w:r>
        <w:rPr>
          <w:rFonts w:eastAsia="仿宋"/>
        </w:rPr>
        <w:fldChar w:fldCharType="separate"/>
      </w:r>
      <w:r>
        <w:rPr>
          <w:rFonts w:eastAsia="仿宋"/>
        </w:rPr>
        <w:t>102</w:t>
      </w:r>
      <w:r>
        <w:rPr>
          <w:rFonts w:eastAsia="仿宋"/>
        </w:rPr>
        <w:fldChar w:fldCharType="end"/>
      </w:r>
      <w:r>
        <w:rPr>
          <w:rFonts w:eastAsia="仿宋"/>
        </w:rPr>
        <w:fldChar w:fldCharType="end"/>
      </w:r>
    </w:p>
    <w:p>
      <w:pPr>
        <w:pStyle w:val="27"/>
        <w:tabs>
          <w:tab w:val="right" w:leader="dot" w:pos="8306"/>
        </w:tabs>
        <w:rPr>
          <w:rFonts w:eastAsia="仿宋"/>
        </w:rPr>
      </w:pPr>
      <w:r>
        <w:fldChar w:fldCharType="begin"/>
      </w:r>
      <w:r>
        <w:instrText xml:space="preserve"> HYPERLINK \l "_Toc3127" </w:instrText>
      </w:r>
      <w:r>
        <w:fldChar w:fldCharType="separate"/>
      </w:r>
      <w:r>
        <w:rPr>
          <w:rFonts w:eastAsia="仿宋"/>
        </w:rPr>
        <w:t>12 附件</w:t>
      </w:r>
      <w:r>
        <w:rPr>
          <w:rFonts w:eastAsia="仿宋"/>
        </w:rPr>
        <w:tab/>
      </w:r>
      <w:r>
        <w:rPr>
          <w:rFonts w:eastAsia="仿宋"/>
        </w:rPr>
        <w:fldChar w:fldCharType="begin"/>
      </w:r>
      <w:r>
        <w:rPr>
          <w:rFonts w:eastAsia="仿宋"/>
        </w:rPr>
        <w:instrText xml:space="preserve"> PAGEREF _Toc3127 \h </w:instrText>
      </w:r>
      <w:r>
        <w:rPr>
          <w:rFonts w:eastAsia="仿宋"/>
        </w:rPr>
        <w:fldChar w:fldCharType="separate"/>
      </w:r>
      <w:r>
        <w:rPr>
          <w:rFonts w:eastAsia="仿宋"/>
        </w:rPr>
        <w:t>103</w:t>
      </w:r>
      <w:r>
        <w:rPr>
          <w:rFonts w:eastAsia="仿宋"/>
        </w:rPr>
        <w:fldChar w:fldCharType="end"/>
      </w:r>
      <w:r>
        <w:rPr>
          <w:rFonts w:eastAsia="仿宋"/>
        </w:rPr>
        <w:fldChar w:fldCharType="end"/>
      </w:r>
    </w:p>
    <w:p>
      <w:pPr>
        <w:rPr>
          <w:color w:val="FF0000"/>
        </w:rPr>
        <w:sectPr>
          <w:headerReference r:id="rId3" w:type="default"/>
          <w:footerReference r:id="rId4" w:type="default"/>
          <w:pgSz w:w="11906" w:h="16838"/>
          <w:pgMar w:top="1440" w:right="1800" w:bottom="1440" w:left="1800" w:header="1077" w:footer="1191" w:gutter="0"/>
          <w:pgBorders>
            <w:top w:val="none" w:sz="0" w:space="0"/>
            <w:left w:val="none" w:sz="0" w:space="0"/>
            <w:bottom w:val="none" w:sz="0" w:space="0"/>
            <w:right w:val="none" w:sz="0" w:space="0"/>
          </w:pgBorders>
          <w:pgNumType w:start="1"/>
          <w:cols w:space="720" w:num="1"/>
          <w:docGrid w:type="lines" w:linePitch="312" w:charSpace="0"/>
        </w:sectPr>
      </w:pPr>
      <w:r>
        <w:rPr>
          <w:rFonts w:eastAsia="仿宋"/>
          <w:color w:val="FF0000"/>
          <w:szCs w:val="28"/>
        </w:rPr>
        <w:fldChar w:fldCharType="end"/>
      </w:r>
      <w:bookmarkStart w:id="0" w:name="_Toc472856683"/>
    </w:p>
    <w:p>
      <w:pPr>
        <w:pStyle w:val="5"/>
        <w:spacing w:beforeLines="0" w:afterLines="0" w:line="520" w:lineRule="exact"/>
        <w:ind w:left="0" w:firstLine="0"/>
      </w:pPr>
      <w:bookmarkStart w:id="1" w:name="_Toc27059"/>
      <w:r>
        <w:t>总则</w:t>
      </w:r>
      <w:bookmarkEnd w:id="0"/>
      <w:bookmarkEnd w:id="1"/>
    </w:p>
    <w:p>
      <w:pPr>
        <w:pStyle w:val="6"/>
        <w:spacing w:before="0" w:beforeAutospacing="0" w:line="520" w:lineRule="exact"/>
        <w:ind w:left="0" w:firstLine="0"/>
      </w:pPr>
      <w:bookmarkStart w:id="2" w:name="_Toc3947"/>
      <w:bookmarkStart w:id="3" w:name="_Toc472856684"/>
      <w:bookmarkStart w:id="4" w:name="_Toc430788061"/>
      <w:r>
        <w:t>编制目的</w:t>
      </w:r>
      <w:bookmarkEnd w:id="2"/>
      <w:bookmarkEnd w:id="3"/>
      <w:bookmarkEnd w:id="4"/>
    </w:p>
    <w:p>
      <w:pPr>
        <w:pStyle w:val="95"/>
        <w:spacing w:line="520" w:lineRule="exact"/>
        <w:ind w:firstLine="562"/>
        <w:jc w:val="both"/>
        <w:rPr>
          <w:b w:val="0"/>
          <w:bCs w:val="0"/>
          <w:sz w:val="28"/>
          <w:szCs w:val="28"/>
        </w:rPr>
      </w:pPr>
      <w:r>
        <w:rPr>
          <w:rFonts w:hAnsi="仿宋" w:eastAsia="仿宋"/>
          <w:b w:val="0"/>
          <w:bCs w:val="0"/>
          <w:sz w:val="28"/>
          <w:szCs w:val="28"/>
        </w:rPr>
        <w:t>为适应突发环境污染事故应急处置需要，贯彻执行</w:t>
      </w:r>
      <w:r>
        <w:rPr>
          <w:rFonts w:eastAsia="仿宋"/>
          <w:b w:val="0"/>
          <w:bCs w:val="0"/>
          <w:sz w:val="28"/>
          <w:szCs w:val="28"/>
        </w:rPr>
        <w:t>“</w:t>
      </w:r>
      <w:r>
        <w:rPr>
          <w:rFonts w:hAnsi="仿宋" w:eastAsia="仿宋"/>
          <w:b w:val="0"/>
          <w:bCs w:val="0"/>
          <w:sz w:val="28"/>
          <w:szCs w:val="28"/>
        </w:rPr>
        <w:t>救人第一、环境优先；先期处置、防止危害扩大；快速响应、科学应对</w:t>
      </w:r>
      <w:r>
        <w:rPr>
          <w:rFonts w:eastAsia="仿宋"/>
          <w:b w:val="0"/>
          <w:bCs w:val="0"/>
          <w:sz w:val="28"/>
          <w:szCs w:val="28"/>
        </w:rPr>
        <w:t>”</w:t>
      </w:r>
      <w:r>
        <w:rPr>
          <w:rFonts w:hAnsi="仿宋" w:eastAsia="仿宋"/>
          <w:b w:val="0"/>
          <w:bCs w:val="0"/>
          <w:sz w:val="28"/>
          <w:szCs w:val="28"/>
        </w:rPr>
        <w:t>的原则，规范事后发的应对工作，提高事件应对能力，避免或减轻事件影响，加强企业与政府对工作衔接。以事故应急处置为核心，明确应急职责、规范应急程序、细化保障措施，促进本公司环境应急预案体系建设，充分发挥应急预案在事故预防和应急处置中的作用，切实提高本公司的应急处置能力，明确各个部门的应急工作职能，及时、科学、有效地指挥、协调应急救援工作，提高应急救援反应速度，确保迅速有效地处理各类环境污染事故处理，实现应急救援</w:t>
      </w:r>
      <w:r>
        <w:rPr>
          <w:rFonts w:eastAsia="仿宋"/>
          <w:b w:val="0"/>
          <w:bCs w:val="0"/>
          <w:sz w:val="28"/>
          <w:szCs w:val="28"/>
        </w:rPr>
        <w:t>“</w:t>
      </w:r>
      <w:r>
        <w:rPr>
          <w:rFonts w:hAnsi="仿宋" w:eastAsia="仿宋"/>
          <w:b w:val="0"/>
          <w:bCs w:val="0"/>
          <w:sz w:val="28"/>
          <w:szCs w:val="28"/>
        </w:rPr>
        <w:t>快速、有序、有效</w:t>
      </w:r>
      <w:r>
        <w:rPr>
          <w:rFonts w:eastAsia="仿宋"/>
          <w:b w:val="0"/>
          <w:bCs w:val="0"/>
          <w:sz w:val="28"/>
          <w:szCs w:val="28"/>
        </w:rPr>
        <w:t>”</w:t>
      </w:r>
      <w:r>
        <w:rPr>
          <w:rFonts w:hAnsi="仿宋" w:eastAsia="仿宋"/>
          <w:b w:val="0"/>
          <w:bCs w:val="0"/>
          <w:sz w:val="28"/>
          <w:szCs w:val="28"/>
        </w:rPr>
        <w:t>，将突发环境事故对人员、财产和环境造成的损失降至最小程度，最大限度地减少对环境的影响，</w:t>
      </w:r>
      <w:r>
        <w:rPr>
          <w:b w:val="0"/>
          <w:bCs w:val="0"/>
          <w:sz w:val="28"/>
          <w:szCs w:val="28"/>
        </w:rPr>
        <w:t>根据《国家突发环境事件应急预案》及其他相关法律、法规的要求，</w:t>
      </w:r>
      <w:r>
        <w:rPr>
          <w:rFonts w:hAnsi="仿宋" w:eastAsia="仿宋"/>
          <w:b w:val="0"/>
          <w:bCs w:val="0"/>
          <w:sz w:val="28"/>
          <w:szCs w:val="28"/>
        </w:rPr>
        <w:t>结合公司环境保护工作的实际情况及国家、地方政府相关规定，特制定本应急预案。</w:t>
      </w:r>
    </w:p>
    <w:p>
      <w:pPr>
        <w:pStyle w:val="6"/>
        <w:spacing w:before="0" w:beforeAutospacing="0" w:line="520" w:lineRule="exact"/>
        <w:ind w:left="0" w:firstLine="0"/>
      </w:pPr>
      <w:bookmarkStart w:id="5" w:name="_Toc472856685"/>
      <w:bookmarkStart w:id="6" w:name="_Toc16906"/>
      <w:r>
        <w:t>编制依据</w:t>
      </w:r>
      <w:bookmarkEnd w:id="5"/>
      <w:bookmarkEnd w:id="6"/>
    </w:p>
    <w:p>
      <w:pPr>
        <w:pStyle w:val="8"/>
        <w:spacing w:line="520" w:lineRule="exact"/>
        <w:ind w:left="0" w:firstLine="0"/>
        <w:rPr>
          <w:rFonts w:eastAsia="仿宋_GB2312"/>
          <w:sz w:val="28"/>
          <w:szCs w:val="28"/>
        </w:rPr>
      </w:pPr>
      <w:r>
        <w:rPr>
          <w:rFonts w:eastAsia="仿宋_GB2312"/>
          <w:sz w:val="28"/>
          <w:szCs w:val="28"/>
        </w:rPr>
        <w:t>法律法规、规章、指导性文件</w:t>
      </w:r>
    </w:p>
    <w:p>
      <w:pPr>
        <w:pStyle w:val="95"/>
        <w:spacing w:line="520" w:lineRule="exact"/>
        <w:ind w:firstLine="560"/>
        <w:rPr>
          <w:b w:val="0"/>
          <w:bCs w:val="0"/>
          <w:sz w:val="28"/>
          <w:szCs w:val="28"/>
        </w:rPr>
      </w:pPr>
      <w:r>
        <w:rPr>
          <w:b w:val="0"/>
          <w:bCs w:val="0"/>
          <w:sz w:val="28"/>
          <w:szCs w:val="28"/>
        </w:rPr>
        <w:t>（1）《中华人民共和国环境保护法》；</w:t>
      </w:r>
    </w:p>
    <w:p>
      <w:pPr>
        <w:pStyle w:val="95"/>
        <w:spacing w:line="520" w:lineRule="exact"/>
        <w:ind w:firstLine="560"/>
        <w:rPr>
          <w:b w:val="0"/>
          <w:bCs w:val="0"/>
          <w:sz w:val="28"/>
          <w:szCs w:val="28"/>
        </w:rPr>
      </w:pPr>
      <w:r>
        <w:rPr>
          <w:b w:val="0"/>
          <w:bCs w:val="0"/>
          <w:sz w:val="28"/>
          <w:szCs w:val="28"/>
        </w:rPr>
        <w:t>（2）《中华人民共和国大气污染防治法》；</w:t>
      </w:r>
    </w:p>
    <w:p>
      <w:pPr>
        <w:pStyle w:val="95"/>
        <w:spacing w:line="520" w:lineRule="exact"/>
        <w:ind w:firstLine="560"/>
        <w:rPr>
          <w:b w:val="0"/>
          <w:bCs w:val="0"/>
          <w:sz w:val="28"/>
          <w:szCs w:val="28"/>
        </w:rPr>
      </w:pPr>
      <w:r>
        <w:rPr>
          <w:b w:val="0"/>
          <w:bCs w:val="0"/>
          <w:sz w:val="28"/>
          <w:szCs w:val="28"/>
        </w:rPr>
        <w:t>（3）《中华人民共和国水污染防治法》；</w:t>
      </w:r>
    </w:p>
    <w:p>
      <w:pPr>
        <w:pStyle w:val="95"/>
        <w:spacing w:line="520" w:lineRule="exact"/>
        <w:ind w:firstLine="560"/>
        <w:rPr>
          <w:b w:val="0"/>
          <w:bCs w:val="0"/>
          <w:sz w:val="28"/>
          <w:szCs w:val="28"/>
        </w:rPr>
      </w:pPr>
      <w:r>
        <w:rPr>
          <w:b w:val="0"/>
          <w:bCs w:val="0"/>
          <w:sz w:val="28"/>
          <w:szCs w:val="28"/>
        </w:rPr>
        <w:t>（4）《中华人民共和国固体废物污染防治法》；</w:t>
      </w:r>
    </w:p>
    <w:p>
      <w:pPr>
        <w:pStyle w:val="95"/>
        <w:spacing w:line="520" w:lineRule="exact"/>
        <w:ind w:firstLine="560"/>
        <w:rPr>
          <w:b w:val="0"/>
          <w:bCs w:val="0"/>
          <w:sz w:val="28"/>
          <w:szCs w:val="28"/>
        </w:rPr>
      </w:pPr>
      <w:r>
        <w:rPr>
          <w:b w:val="0"/>
          <w:bCs w:val="0"/>
          <w:sz w:val="28"/>
          <w:szCs w:val="28"/>
        </w:rPr>
        <w:t>（5）《中华人民共和国突发事件应对法》；</w:t>
      </w:r>
    </w:p>
    <w:p>
      <w:pPr>
        <w:pStyle w:val="95"/>
        <w:spacing w:line="520" w:lineRule="exact"/>
        <w:ind w:firstLine="560"/>
        <w:rPr>
          <w:b w:val="0"/>
          <w:bCs w:val="0"/>
          <w:sz w:val="28"/>
          <w:szCs w:val="28"/>
        </w:rPr>
      </w:pPr>
      <w:r>
        <w:rPr>
          <w:b w:val="0"/>
          <w:bCs w:val="0"/>
          <w:sz w:val="28"/>
          <w:szCs w:val="28"/>
        </w:rPr>
        <w:t>（6）《中华人民共和国安全生产法》；</w:t>
      </w:r>
    </w:p>
    <w:p>
      <w:pPr>
        <w:pStyle w:val="95"/>
        <w:spacing w:line="520" w:lineRule="exact"/>
        <w:ind w:firstLine="560"/>
        <w:rPr>
          <w:b w:val="0"/>
          <w:bCs w:val="0"/>
          <w:sz w:val="28"/>
          <w:szCs w:val="28"/>
        </w:rPr>
      </w:pPr>
      <w:r>
        <w:rPr>
          <w:b w:val="0"/>
          <w:bCs w:val="0"/>
          <w:sz w:val="28"/>
          <w:szCs w:val="28"/>
        </w:rPr>
        <w:t>（7）《中华人民共和国消防法》；</w:t>
      </w:r>
    </w:p>
    <w:p>
      <w:pPr>
        <w:pStyle w:val="95"/>
        <w:spacing w:line="520" w:lineRule="exact"/>
        <w:ind w:firstLine="560"/>
        <w:rPr>
          <w:b w:val="0"/>
          <w:bCs w:val="0"/>
          <w:sz w:val="28"/>
          <w:szCs w:val="28"/>
        </w:rPr>
      </w:pPr>
      <w:r>
        <w:rPr>
          <w:b w:val="0"/>
          <w:bCs w:val="0"/>
          <w:sz w:val="28"/>
          <w:szCs w:val="28"/>
        </w:rPr>
        <w:t>（8）《危险化学品安全管理条例》；</w:t>
      </w:r>
    </w:p>
    <w:p>
      <w:pPr>
        <w:pStyle w:val="95"/>
        <w:spacing w:line="520" w:lineRule="exact"/>
        <w:ind w:firstLine="560"/>
        <w:rPr>
          <w:b w:val="0"/>
          <w:bCs w:val="0"/>
          <w:sz w:val="28"/>
          <w:szCs w:val="28"/>
        </w:rPr>
      </w:pPr>
      <w:r>
        <w:rPr>
          <w:b w:val="0"/>
          <w:bCs w:val="0"/>
          <w:sz w:val="28"/>
          <w:szCs w:val="28"/>
        </w:rPr>
        <w:t>（9）《宜昌市突发环境事件应急预案》；</w:t>
      </w:r>
    </w:p>
    <w:p>
      <w:pPr>
        <w:pStyle w:val="95"/>
        <w:spacing w:line="520" w:lineRule="exact"/>
        <w:ind w:firstLine="560"/>
        <w:rPr>
          <w:b w:val="0"/>
          <w:bCs w:val="0"/>
          <w:sz w:val="28"/>
          <w:szCs w:val="28"/>
        </w:rPr>
      </w:pPr>
      <w:r>
        <w:rPr>
          <w:b w:val="0"/>
          <w:bCs w:val="0"/>
          <w:sz w:val="28"/>
          <w:szCs w:val="28"/>
        </w:rPr>
        <w:t>（10）《关于加强环境应急管理工作的意见》（环发〔2009〕130号）；</w:t>
      </w:r>
    </w:p>
    <w:p>
      <w:pPr>
        <w:pStyle w:val="95"/>
        <w:spacing w:line="520" w:lineRule="exact"/>
        <w:ind w:firstLine="560"/>
        <w:rPr>
          <w:b w:val="0"/>
          <w:bCs w:val="0"/>
          <w:sz w:val="28"/>
          <w:szCs w:val="28"/>
        </w:rPr>
      </w:pPr>
      <w:r>
        <w:rPr>
          <w:b w:val="0"/>
          <w:bCs w:val="0"/>
          <w:sz w:val="28"/>
          <w:szCs w:val="28"/>
        </w:rPr>
        <w:t>（11）《环境保护部突发环境事件信息报告情况通报的办法（试行）》（环办〔2010〕141号）；</w:t>
      </w:r>
    </w:p>
    <w:p>
      <w:pPr>
        <w:pStyle w:val="95"/>
        <w:spacing w:line="520" w:lineRule="exact"/>
        <w:ind w:firstLine="560"/>
        <w:rPr>
          <w:b w:val="0"/>
          <w:bCs w:val="0"/>
          <w:sz w:val="28"/>
          <w:szCs w:val="28"/>
        </w:rPr>
      </w:pPr>
      <w:r>
        <w:rPr>
          <w:b w:val="0"/>
          <w:bCs w:val="0"/>
          <w:sz w:val="28"/>
          <w:szCs w:val="28"/>
        </w:rPr>
        <w:t>（12）《企业事业单位突发环境事件应急预案备案管理办法（试行）》的通知环发</w:t>
      </w:r>
      <w:r>
        <w:rPr>
          <w:rFonts w:hint="eastAsia" w:ascii="宋体" w:hAnsi="宋体" w:eastAsia="宋体" w:cs="宋体"/>
          <w:b w:val="0"/>
          <w:bCs w:val="0"/>
          <w:sz w:val="28"/>
          <w:szCs w:val="28"/>
        </w:rPr>
        <w:t>〔</w:t>
      </w:r>
      <w:r>
        <w:rPr>
          <w:b w:val="0"/>
          <w:bCs w:val="0"/>
          <w:sz w:val="28"/>
          <w:szCs w:val="28"/>
        </w:rPr>
        <w:t>2015</w:t>
      </w:r>
      <w:r>
        <w:rPr>
          <w:rFonts w:hint="eastAsia" w:ascii="宋体" w:hAnsi="宋体" w:eastAsia="宋体" w:cs="宋体"/>
          <w:b w:val="0"/>
          <w:bCs w:val="0"/>
          <w:sz w:val="28"/>
          <w:szCs w:val="28"/>
        </w:rPr>
        <w:t>〕</w:t>
      </w:r>
      <w:r>
        <w:rPr>
          <w:b w:val="0"/>
          <w:bCs w:val="0"/>
          <w:sz w:val="28"/>
          <w:szCs w:val="28"/>
        </w:rPr>
        <w:t>4号；</w:t>
      </w:r>
    </w:p>
    <w:p>
      <w:pPr>
        <w:pStyle w:val="95"/>
        <w:spacing w:line="520" w:lineRule="exact"/>
        <w:ind w:firstLine="560"/>
        <w:rPr>
          <w:b w:val="0"/>
          <w:bCs w:val="0"/>
          <w:sz w:val="28"/>
          <w:szCs w:val="28"/>
        </w:rPr>
      </w:pPr>
      <w:r>
        <w:rPr>
          <w:b w:val="0"/>
          <w:bCs w:val="0"/>
          <w:sz w:val="28"/>
          <w:szCs w:val="28"/>
        </w:rPr>
        <w:t>（13）《突发事件应急预案管理办法》（国发〔2013〕101号）；</w:t>
      </w:r>
    </w:p>
    <w:p>
      <w:pPr>
        <w:pStyle w:val="95"/>
        <w:spacing w:line="520" w:lineRule="exact"/>
        <w:ind w:firstLine="560"/>
        <w:rPr>
          <w:b w:val="0"/>
          <w:bCs w:val="0"/>
          <w:sz w:val="28"/>
          <w:szCs w:val="28"/>
        </w:rPr>
      </w:pPr>
      <w:r>
        <w:rPr>
          <w:b w:val="0"/>
          <w:bCs w:val="0"/>
          <w:sz w:val="28"/>
          <w:szCs w:val="28"/>
        </w:rPr>
        <w:t>（14）《突发环境事件信息报告办法》（环境保护部令第17号）；</w:t>
      </w:r>
    </w:p>
    <w:p>
      <w:pPr>
        <w:pStyle w:val="95"/>
        <w:spacing w:line="520" w:lineRule="exact"/>
        <w:ind w:firstLine="560"/>
        <w:rPr>
          <w:b w:val="0"/>
          <w:bCs w:val="0"/>
          <w:sz w:val="28"/>
          <w:szCs w:val="28"/>
        </w:rPr>
      </w:pPr>
      <w:r>
        <w:rPr>
          <w:b w:val="0"/>
          <w:bCs w:val="0"/>
          <w:sz w:val="28"/>
          <w:szCs w:val="28"/>
        </w:rPr>
        <w:t>（15）《突发环境事件调查处理办法》（环保部令第32号）；</w:t>
      </w:r>
    </w:p>
    <w:p>
      <w:pPr>
        <w:pStyle w:val="95"/>
        <w:spacing w:line="520" w:lineRule="exact"/>
        <w:ind w:firstLine="560"/>
        <w:rPr>
          <w:b w:val="0"/>
          <w:bCs w:val="0"/>
          <w:sz w:val="28"/>
          <w:szCs w:val="28"/>
        </w:rPr>
      </w:pPr>
      <w:r>
        <w:rPr>
          <w:b w:val="0"/>
          <w:bCs w:val="0"/>
          <w:sz w:val="28"/>
          <w:szCs w:val="28"/>
        </w:rPr>
        <w:t>（16）《突发环境事件应急管理办法》（环保部令第34号）；</w:t>
      </w:r>
    </w:p>
    <w:p>
      <w:pPr>
        <w:pStyle w:val="95"/>
        <w:spacing w:line="520" w:lineRule="exact"/>
        <w:ind w:firstLine="560"/>
        <w:rPr>
          <w:b w:val="0"/>
          <w:bCs w:val="0"/>
          <w:sz w:val="28"/>
          <w:szCs w:val="28"/>
        </w:rPr>
      </w:pPr>
      <w:r>
        <w:rPr>
          <w:b w:val="0"/>
          <w:bCs w:val="0"/>
          <w:sz w:val="28"/>
          <w:szCs w:val="28"/>
        </w:rPr>
        <w:t>（17）《宜昌市突发事件信息应急处置暂行办法》；</w:t>
      </w:r>
    </w:p>
    <w:p>
      <w:pPr>
        <w:pStyle w:val="95"/>
        <w:spacing w:line="520" w:lineRule="exact"/>
        <w:ind w:firstLine="560"/>
        <w:rPr>
          <w:b w:val="0"/>
          <w:bCs w:val="0"/>
          <w:sz w:val="28"/>
          <w:szCs w:val="28"/>
        </w:rPr>
      </w:pPr>
      <w:r>
        <w:rPr>
          <w:b w:val="0"/>
          <w:bCs w:val="0"/>
          <w:sz w:val="28"/>
          <w:szCs w:val="28"/>
        </w:rPr>
        <w:t>（18）《湖北省突发事件应对办法》；</w:t>
      </w:r>
    </w:p>
    <w:p>
      <w:pPr>
        <w:pStyle w:val="95"/>
        <w:spacing w:line="520" w:lineRule="exact"/>
        <w:ind w:firstLine="560"/>
        <w:rPr>
          <w:b w:val="0"/>
          <w:bCs w:val="0"/>
          <w:sz w:val="28"/>
          <w:szCs w:val="28"/>
        </w:rPr>
      </w:pPr>
      <w:r>
        <w:rPr>
          <w:b w:val="0"/>
          <w:bCs w:val="0"/>
          <w:sz w:val="28"/>
          <w:szCs w:val="28"/>
        </w:rPr>
        <w:t>（19）《湖北省环境保护厅突发环境事件应急预案》（鄂环办〔2015〕297号）；</w:t>
      </w:r>
    </w:p>
    <w:p>
      <w:pPr>
        <w:pStyle w:val="95"/>
        <w:spacing w:line="520" w:lineRule="exact"/>
        <w:ind w:firstLine="560"/>
        <w:rPr>
          <w:b w:val="0"/>
          <w:bCs w:val="0"/>
          <w:sz w:val="28"/>
          <w:szCs w:val="28"/>
        </w:rPr>
      </w:pPr>
      <w:r>
        <w:rPr>
          <w:b w:val="0"/>
          <w:bCs w:val="0"/>
          <w:sz w:val="28"/>
          <w:szCs w:val="28"/>
        </w:rPr>
        <w:t>（20）《省环保厅关于进一步规范突发环境事件信息报送工作和建立环境应急管理工作信息例报制度的通知》；</w:t>
      </w:r>
    </w:p>
    <w:p>
      <w:pPr>
        <w:pStyle w:val="95"/>
        <w:spacing w:line="520" w:lineRule="exact"/>
        <w:ind w:firstLine="560"/>
        <w:jc w:val="both"/>
        <w:rPr>
          <w:b w:val="0"/>
          <w:bCs w:val="0"/>
          <w:sz w:val="28"/>
          <w:szCs w:val="28"/>
        </w:rPr>
      </w:pPr>
      <w:r>
        <w:rPr>
          <w:b w:val="0"/>
          <w:bCs w:val="0"/>
          <w:sz w:val="28"/>
          <w:szCs w:val="28"/>
        </w:rPr>
        <w:t>（21）《企业突发环境事件隐患排查和治理工作指南（试行）》（环境保护部公告2016年第74号）；</w:t>
      </w:r>
    </w:p>
    <w:p>
      <w:pPr>
        <w:pStyle w:val="95"/>
        <w:spacing w:line="520" w:lineRule="exact"/>
        <w:ind w:firstLine="560"/>
        <w:rPr>
          <w:b w:val="0"/>
          <w:bCs w:val="0"/>
          <w:sz w:val="28"/>
          <w:szCs w:val="28"/>
        </w:rPr>
      </w:pPr>
      <w:r>
        <w:rPr>
          <w:b w:val="0"/>
          <w:bCs w:val="0"/>
          <w:sz w:val="28"/>
          <w:szCs w:val="28"/>
        </w:rPr>
        <w:t>（22）《危险化学品重大危险源监督管理暂行规定》（安全监管总局令第40号）；</w:t>
      </w:r>
    </w:p>
    <w:p>
      <w:pPr>
        <w:pStyle w:val="95"/>
        <w:spacing w:line="520" w:lineRule="exact"/>
        <w:ind w:firstLine="560"/>
        <w:rPr>
          <w:b w:val="0"/>
          <w:bCs w:val="0"/>
          <w:sz w:val="28"/>
          <w:szCs w:val="28"/>
        </w:rPr>
      </w:pPr>
      <w:r>
        <w:rPr>
          <w:b w:val="0"/>
          <w:bCs w:val="0"/>
          <w:sz w:val="28"/>
          <w:szCs w:val="28"/>
        </w:rPr>
        <w:t>（23）《危险化学品生产企业安全生产许可证实施办法》（安全监管总局令第41号）；</w:t>
      </w:r>
    </w:p>
    <w:p>
      <w:pPr>
        <w:pStyle w:val="95"/>
        <w:spacing w:line="520" w:lineRule="exact"/>
        <w:ind w:firstLine="560"/>
        <w:rPr>
          <w:b w:val="0"/>
          <w:bCs w:val="0"/>
          <w:sz w:val="28"/>
          <w:szCs w:val="28"/>
        </w:rPr>
      </w:pPr>
      <w:r>
        <w:rPr>
          <w:b w:val="0"/>
          <w:bCs w:val="0"/>
          <w:sz w:val="28"/>
          <w:szCs w:val="28"/>
        </w:rPr>
        <w:t>（24）《危险化学品建设项目监管管理办法》（安全监管总局令第45号）；</w:t>
      </w:r>
    </w:p>
    <w:p>
      <w:pPr>
        <w:pStyle w:val="95"/>
        <w:spacing w:line="520" w:lineRule="exact"/>
        <w:ind w:firstLine="560"/>
        <w:rPr>
          <w:b w:val="0"/>
          <w:bCs w:val="0"/>
          <w:sz w:val="28"/>
          <w:szCs w:val="28"/>
        </w:rPr>
      </w:pPr>
      <w:r>
        <w:rPr>
          <w:b w:val="0"/>
          <w:bCs w:val="0"/>
          <w:sz w:val="28"/>
          <w:szCs w:val="28"/>
        </w:rPr>
        <w:t>（25）《重点监管危险化工工艺名录》（2013年完整版）；</w:t>
      </w:r>
    </w:p>
    <w:p>
      <w:pPr>
        <w:pStyle w:val="95"/>
        <w:spacing w:line="520" w:lineRule="exact"/>
        <w:ind w:firstLine="560"/>
        <w:rPr>
          <w:b w:val="0"/>
          <w:bCs w:val="0"/>
          <w:sz w:val="28"/>
          <w:szCs w:val="28"/>
        </w:rPr>
      </w:pPr>
      <w:r>
        <w:rPr>
          <w:b w:val="0"/>
          <w:bCs w:val="0"/>
          <w:sz w:val="28"/>
          <w:szCs w:val="28"/>
        </w:rPr>
        <w:t>（26）《危险化学品目录》（2015版）；</w:t>
      </w:r>
    </w:p>
    <w:p>
      <w:pPr>
        <w:pStyle w:val="95"/>
        <w:spacing w:line="520" w:lineRule="exact"/>
        <w:ind w:firstLine="560"/>
        <w:rPr>
          <w:b w:val="0"/>
          <w:bCs w:val="0"/>
          <w:sz w:val="28"/>
          <w:szCs w:val="28"/>
        </w:rPr>
      </w:pPr>
      <w:r>
        <w:rPr>
          <w:b w:val="0"/>
          <w:bCs w:val="0"/>
          <w:sz w:val="28"/>
          <w:szCs w:val="28"/>
        </w:rPr>
        <w:t>（27）《省环保厅关于转发&lt;企事业单位突发环境事件应急预案备案管理办法（试行）&gt;的通知》（鄂环办〔2015〕126号）；</w:t>
      </w:r>
    </w:p>
    <w:p>
      <w:pPr>
        <w:pStyle w:val="95"/>
        <w:spacing w:line="520" w:lineRule="exact"/>
        <w:ind w:firstLine="560"/>
        <w:rPr>
          <w:b w:val="0"/>
          <w:bCs w:val="0"/>
          <w:sz w:val="28"/>
          <w:szCs w:val="28"/>
        </w:rPr>
      </w:pPr>
      <w:r>
        <w:rPr>
          <w:b w:val="0"/>
          <w:bCs w:val="0"/>
          <w:sz w:val="28"/>
          <w:szCs w:val="28"/>
        </w:rPr>
        <w:t>（28）《关于加强企事业单位突发环境事件应急预案备案管理工作的通知》（宜市环发〔2015〕60号）；</w:t>
      </w:r>
    </w:p>
    <w:p>
      <w:pPr>
        <w:pStyle w:val="95"/>
        <w:spacing w:line="520" w:lineRule="exact"/>
        <w:ind w:firstLine="560"/>
        <w:rPr>
          <w:b w:val="0"/>
          <w:bCs w:val="0"/>
          <w:sz w:val="28"/>
          <w:szCs w:val="28"/>
        </w:rPr>
      </w:pPr>
      <w:r>
        <w:rPr>
          <w:b w:val="0"/>
          <w:bCs w:val="0"/>
          <w:sz w:val="28"/>
          <w:szCs w:val="28"/>
        </w:rPr>
        <w:t>（29）《宜昌市</w:t>
      </w:r>
      <w:r>
        <w:rPr>
          <w:rFonts w:hint="eastAsia"/>
          <w:b w:val="0"/>
          <w:bCs w:val="0"/>
          <w:sz w:val="28"/>
          <w:szCs w:val="28"/>
        </w:rPr>
        <w:t>生态环境</w:t>
      </w:r>
      <w:r>
        <w:rPr>
          <w:b w:val="0"/>
          <w:bCs w:val="0"/>
          <w:sz w:val="28"/>
          <w:szCs w:val="28"/>
        </w:rPr>
        <w:t>局加强安全生产事中事后环境监管工作》；</w:t>
      </w:r>
    </w:p>
    <w:p>
      <w:pPr>
        <w:pStyle w:val="95"/>
        <w:spacing w:line="520" w:lineRule="exact"/>
        <w:ind w:firstLine="560"/>
        <w:rPr>
          <w:b w:val="0"/>
          <w:bCs w:val="0"/>
          <w:sz w:val="28"/>
          <w:szCs w:val="28"/>
        </w:rPr>
      </w:pPr>
      <w:r>
        <w:rPr>
          <w:b w:val="0"/>
          <w:bCs w:val="0"/>
          <w:sz w:val="28"/>
          <w:szCs w:val="28"/>
        </w:rPr>
        <w:t>（30）《宜昌市</w:t>
      </w:r>
      <w:r>
        <w:rPr>
          <w:rFonts w:hint="eastAsia"/>
          <w:b w:val="0"/>
          <w:bCs w:val="0"/>
          <w:sz w:val="28"/>
          <w:szCs w:val="28"/>
        </w:rPr>
        <w:t>生态环境</w:t>
      </w:r>
      <w:r>
        <w:rPr>
          <w:b w:val="0"/>
          <w:bCs w:val="0"/>
          <w:sz w:val="28"/>
          <w:szCs w:val="28"/>
        </w:rPr>
        <w:t>局突发环境事件应急预案》。</w:t>
      </w:r>
    </w:p>
    <w:p>
      <w:pPr>
        <w:pStyle w:val="8"/>
        <w:spacing w:line="520" w:lineRule="exact"/>
        <w:ind w:left="0" w:firstLine="0"/>
        <w:rPr>
          <w:rFonts w:eastAsia="仿宋_GB2312"/>
          <w:sz w:val="28"/>
          <w:szCs w:val="28"/>
        </w:rPr>
      </w:pPr>
      <w:r>
        <w:rPr>
          <w:rFonts w:eastAsia="仿宋_GB2312"/>
          <w:sz w:val="28"/>
          <w:szCs w:val="28"/>
        </w:rPr>
        <w:t>标准、技术规范</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sz w:val="28"/>
          <w:szCs w:val="28"/>
        </w:rPr>
      </w:pPr>
      <w:r>
        <w:rPr>
          <w:rFonts w:ascii="Times New Roman" w:hAnsi="Times New Roman" w:eastAsia="仿宋_GB2312" w:cs="Times New Roman"/>
          <w:bCs/>
          <w:kern w:val="44"/>
          <w:sz w:val="28"/>
          <w:szCs w:val="28"/>
        </w:rPr>
        <w:t>（1）《建设项目环境风险评价技术导则》（HJ169-2018）；</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sz w:val="28"/>
          <w:szCs w:val="28"/>
        </w:rPr>
      </w:pPr>
      <w:r>
        <w:rPr>
          <w:rFonts w:ascii="Times New Roman" w:hAnsi="Times New Roman" w:eastAsia="仿宋_GB2312" w:cs="Times New Roman"/>
          <w:bCs/>
          <w:kern w:val="44"/>
          <w:sz w:val="28"/>
          <w:szCs w:val="28"/>
        </w:rPr>
        <w:t>（2）《企业突发环境事件风险分级方法》（HJ941-2018）；</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sz w:val="28"/>
          <w:szCs w:val="28"/>
        </w:rPr>
      </w:pPr>
      <w:r>
        <w:rPr>
          <w:rFonts w:ascii="Times New Roman" w:hAnsi="Times New Roman" w:eastAsia="仿宋_GB2312" w:cs="Times New Roman"/>
          <w:bCs/>
          <w:kern w:val="44"/>
          <w:sz w:val="28"/>
          <w:szCs w:val="28"/>
        </w:rPr>
        <w:t>（3）《国家危险废物名录》（2021年版）；</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sz w:val="28"/>
          <w:szCs w:val="28"/>
        </w:rPr>
      </w:pPr>
      <w:r>
        <w:rPr>
          <w:rFonts w:ascii="Times New Roman" w:hAnsi="Times New Roman" w:eastAsia="仿宋_GB2312" w:cs="Times New Roman"/>
          <w:bCs/>
          <w:kern w:val="44"/>
          <w:sz w:val="28"/>
          <w:szCs w:val="28"/>
        </w:rPr>
        <w:t>（4）《危险化学品重大危险源辨识》（GB18218-2018）；</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sz w:val="28"/>
          <w:szCs w:val="28"/>
        </w:rPr>
      </w:pPr>
      <w:r>
        <w:rPr>
          <w:rFonts w:ascii="Times New Roman" w:hAnsi="Times New Roman" w:eastAsia="仿宋_GB2312" w:cs="Times New Roman"/>
          <w:bCs/>
          <w:kern w:val="44"/>
          <w:sz w:val="28"/>
          <w:szCs w:val="28"/>
        </w:rPr>
        <w:t>（5）《危险货物品名表》（GB12268-2012）；</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sz w:val="28"/>
          <w:szCs w:val="28"/>
        </w:rPr>
      </w:pPr>
      <w:r>
        <w:rPr>
          <w:rFonts w:ascii="Times New Roman" w:hAnsi="Times New Roman" w:eastAsia="仿宋_GB2312" w:cs="Times New Roman"/>
          <w:bCs/>
          <w:kern w:val="44"/>
          <w:sz w:val="28"/>
          <w:szCs w:val="28"/>
        </w:rPr>
        <w:t>（6）《危险化学品分类和标签规范第18部分：急性毒性》（GB 30000.18-2013）；</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sz w:val="28"/>
          <w:szCs w:val="28"/>
        </w:rPr>
      </w:pPr>
      <w:r>
        <w:rPr>
          <w:rFonts w:ascii="Times New Roman" w:hAnsi="Times New Roman" w:eastAsia="仿宋_GB2312" w:cs="Times New Roman"/>
          <w:bCs/>
          <w:kern w:val="44"/>
          <w:sz w:val="28"/>
          <w:szCs w:val="28"/>
        </w:rPr>
        <w:t>（7）《化工建设项目环境保护</w:t>
      </w:r>
      <w:r>
        <w:rPr>
          <w:rFonts w:hint="eastAsia" w:ascii="Times New Roman" w:hAnsi="Times New Roman" w:eastAsia="仿宋_GB2312" w:cs="Times New Roman"/>
          <w:bCs/>
          <w:kern w:val="44"/>
          <w:sz w:val="28"/>
          <w:szCs w:val="28"/>
        </w:rPr>
        <w:t>工程</w:t>
      </w:r>
      <w:r>
        <w:rPr>
          <w:rFonts w:ascii="Times New Roman" w:hAnsi="Times New Roman" w:eastAsia="仿宋_GB2312" w:cs="Times New Roman"/>
          <w:bCs/>
          <w:kern w:val="44"/>
          <w:sz w:val="28"/>
          <w:szCs w:val="28"/>
        </w:rPr>
        <w:t>设计</w:t>
      </w:r>
      <w:r>
        <w:rPr>
          <w:rFonts w:hint="eastAsia" w:ascii="Times New Roman" w:hAnsi="Times New Roman" w:eastAsia="仿宋_GB2312" w:cs="Times New Roman"/>
          <w:bCs/>
          <w:kern w:val="44"/>
          <w:sz w:val="28"/>
          <w:szCs w:val="28"/>
        </w:rPr>
        <w:t>标准</w:t>
      </w:r>
      <w:r>
        <w:rPr>
          <w:rFonts w:ascii="Times New Roman" w:hAnsi="Times New Roman" w:eastAsia="仿宋_GB2312" w:cs="Times New Roman"/>
          <w:bCs/>
          <w:kern w:val="44"/>
          <w:sz w:val="28"/>
          <w:szCs w:val="28"/>
        </w:rPr>
        <w:t>》（GB50483-2019）；</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sz w:val="28"/>
          <w:szCs w:val="28"/>
        </w:rPr>
      </w:pPr>
      <w:r>
        <w:rPr>
          <w:rFonts w:ascii="Times New Roman" w:hAnsi="Times New Roman" w:eastAsia="仿宋_GB2312" w:cs="Times New Roman"/>
          <w:bCs/>
          <w:kern w:val="44"/>
          <w:sz w:val="28"/>
          <w:szCs w:val="28"/>
        </w:rPr>
        <w:t>（8）《化工企业定量风险评价导则》（AQ/T3046-2013）；</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kern w:val="44"/>
          <w:sz w:val="28"/>
          <w:szCs w:val="28"/>
        </w:rPr>
      </w:pPr>
      <w:r>
        <w:rPr>
          <w:rFonts w:ascii="Times New Roman" w:hAnsi="Times New Roman" w:eastAsia="仿宋_GB2312" w:cs="Times New Roman"/>
          <w:bCs/>
          <w:kern w:val="44"/>
          <w:sz w:val="28"/>
          <w:szCs w:val="28"/>
        </w:rPr>
        <w:t>（9）《建筑设计防火规范》（GB50016-2014）（2018年版本）；</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kern w:val="44"/>
          <w:sz w:val="28"/>
          <w:szCs w:val="28"/>
        </w:rPr>
      </w:pPr>
      <w:r>
        <w:rPr>
          <w:rFonts w:ascii="Times New Roman" w:hAnsi="Times New Roman" w:eastAsia="仿宋_GB2312" w:cs="Times New Roman"/>
          <w:bCs/>
          <w:kern w:val="44"/>
          <w:sz w:val="28"/>
          <w:szCs w:val="28"/>
        </w:rPr>
        <w:t>（10）《石油化工企业设计防火规范》（GB50160-2008）（2018年修正）；</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kern w:val="44"/>
          <w:sz w:val="28"/>
          <w:szCs w:val="28"/>
        </w:rPr>
      </w:pPr>
      <w:r>
        <w:rPr>
          <w:rFonts w:ascii="Times New Roman" w:hAnsi="Times New Roman" w:eastAsia="仿宋_GB2312" w:cs="Times New Roman"/>
          <w:bCs/>
          <w:kern w:val="44"/>
          <w:sz w:val="28"/>
          <w:szCs w:val="28"/>
        </w:rPr>
        <w:t>（11）《储罐区防火堤设计规范》（GB50351-2014）；</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kern w:val="44"/>
          <w:sz w:val="28"/>
          <w:szCs w:val="28"/>
        </w:rPr>
      </w:pPr>
      <w:r>
        <w:rPr>
          <w:rFonts w:ascii="Times New Roman" w:hAnsi="Times New Roman" w:eastAsia="仿宋_GB2312" w:cs="Times New Roman"/>
          <w:bCs/>
          <w:kern w:val="44"/>
          <w:sz w:val="28"/>
          <w:szCs w:val="28"/>
        </w:rPr>
        <w:t>（12）《石油化工企业给水排水系统设计规范》（SH3015-2017）；</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kern w:val="44"/>
          <w:sz w:val="28"/>
          <w:szCs w:val="28"/>
        </w:rPr>
      </w:pPr>
      <w:r>
        <w:rPr>
          <w:rFonts w:ascii="Times New Roman" w:hAnsi="Times New Roman" w:eastAsia="仿宋_GB2312" w:cs="Times New Roman"/>
          <w:bCs/>
          <w:kern w:val="44"/>
          <w:sz w:val="28"/>
          <w:szCs w:val="28"/>
        </w:rPr>
        <w:t>（13）《石油化工污水处理设计规范》（GB50747-2012）；</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kern w:val="44"/>
          <w:sz w:val="28"/>
          <w:szCs w:val="28"/>
        </w:rPr>
      </w:pPr>
      <w:r>
        <w:rPr>
          <w:rFonts w:ascii="Times New Roman" w:hAnsi="Times New Roman" w:eastAsia="仿宋_GB2312" w:cs="Times New Roman"/>
          <w:bCs/>
          <w:kern w:val="44"/>
          <w:sz w:val="28"/>
          <w:szCs w:val="28"/>
        </w:rPr>
        <w:t>（14）《固定式压力容器安全技术监察规程》（TSG21-2016）；</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kern w:val="44"/>
          <w:sz w:val="28"/>
          <w:szCs w:val="28"/>
        </w:rPr>
      </w:pPr>
      <w:r>
        <w:rPr>
          <w:rFonts w:ascii="Times New Roman" w:hAnsi="Times New Roman" w:eastAsia="仿宋_GB2312" w:cs="Times New Roman"/>
          <w:bCs/>
          <w:kern w:val="44"/>
          <w:sz w:val="28"/>
          <w:szCs w:val="28"/>
        </w:rPr>
        <w:t>（15）《化学品毒性鉴定技术规范》（卫监督发〔2005〕272号）；</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kern w:val="44"/>
          <w:sz w:val="28"/>
          <w:szCs w:val="28"/>
        </w:rPr>
      </w:pPr>
      <w:r>
        <w:rPr>
          <w:rFonts w:ascii="Times New Roman" w:hAnsi="Times New Roman" w:eastAsia="仿宋_GB2312" w:cs="Times New Roman"/>
          <w:bCs/>
          <w:kern w:val="44"/>
          <w:sz w:val="28"/>
          <w:szCs w:val="28"/>
        </w:rPr>
        <w:t>（16）《事故状态下水体污染的预防与控制技术要求》（中国石油企业标准Q/SY1190-2013）；</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kern w:val="44"/>
          <w:sz w:val="28"/>
          <w:szCs w:val="28"/>
        </w:rPr>
      </w:pPr>
      <w:r>
        <w:rPr>
          <w:rFonts w:ascii="Times New Roman" w:hAnsi="Times New Roman" w:eastAsia="仿宋_GB2312" w:cs="Times New Roman"/>
          <w:bCs/>
          <w:kern w:val="44"/>
          <w:sz w:val="28"/>
          <w:szCs w:val="28"/>
        </w:rPr>
        <w:t>（17）《水体污染事故风险预防与控制措施运行管理要求》（中国石油企业标准Q/SY1310-2010）；</w:t>
      </w:r>
    </w:p>
    <w:p>
      <w:pPr>
        <w:pStyle w:val="31"/>
        <w:widowControl w:val="0"/>
        <w:spacing w:before="0" w:beforeAutospacing="0" w:after="0" w:afterAutospacing="0" w:line="520" w:lineRule="exact"/>
        <w:ind w:firstLine="560" w:firstLineChars="200"/>
        <w:rPr>
          <w:rFonts w:ascii="Times New Roman" w:hAnsi="Times New Roman" w:eastAsia="仿宋_GB2312" w:cs="Times New Roman"/>
          <w:bCs/>
          <w:kern w:val="44"/>
          <w:sz w:val="28"/>
          <w:szCs w:val="28"/>
        </w:rPr>
      </w:pPr>
      <w:r>
        <w:rPr>
          <w:rFonts w:ascii="Times New Roman" w:hAnsi="Times New Roman" w:eastAsia="仿宋_GB2312" w:cs="Times New Roman"/>
          <w:bCs/>
          <w:kern w:val="44"/>
          <w:sz w:val="28"/>
          <w:szCs w:val="28"/>
        </w:rPr>
        <w:t>（18）《企业事业单位突发环境事件应急预案评审工作指南》（试行）（环办应急</w:t>
      </w:r>
      <w:r>
        <w:rPr>
          <w:rFonts w:hint="eastAsia"/>
          <w:bCs/>
          <w:kern w:val="44"/>
          <w:sz w:val="28"/>
          <w:szCs w:val="28"/>
        </w:rPr>
        <w:t>〔</w:t>
      </w:r>
      <w:r>
        <w:rPr>
          <w:rFonts w:ascii="Times New Roman" w:hAnsi="Times New Roman" w:eastAsia="仿宋_GB2312" w:cs="Times New Roman"/>
          <w:bCs/>
          <w:kern w:val="44"/>
          <w:sz w:val="28"/>
          <w:szCs w:val="28"/>
        </w:rPr>
        <w:t>2018</w:t>
      </w:r>
      <w:r>
        <w:rPr>
          <w:rFonts w:hint="eastAsia"/>
          <w:bCs/>
          <w:kern w:val="44"/>
          <w:sz w:val="28"/>
          <w:szCs w:val="28"/>
        </w:rPr>
        <w:t>〕</w:t>
      </w:r>
      <w:r>
        <w:rPr>
          <w:rFonts w:ascii="Times New Roman" w:hAnsi="Times New Roman" w:eastAsia="仿宋_GB2312" w:cs="Times New Roman"/>
          <w:bCs/>
          <w:kern w:val="44"/>
          <w:sz w:val="28"/>
          <w:szCs w:val="28"/>
        </w:rPr>
        <w:t>8号）。</w:t>
      </w:r>
    </w:p>
    <w:p>
      <w:pPr>
        <w:pStyle w:val="8"/>
        <w:spacing w:line="520" w:lineRule="exact"/>
        <w:ind w:left="0" w:firstLine="0"/>
        <w:rPr>
          <w:rFonts w:eastAsia="仿宋_GB2312"/>
          <w:sz w:val="28"/>
          <w:szCs w:val="28"/>
        </w:rPr>
      </w:pPr>
      <w:r>
        <w:rPr>
          <w:rFonts w:eastAsia="仿宋_GB2312"/>
          <w:sz w:val="28"/>
          <w:szCs w:val="28"/>
        </w:rPr>
        <w:t>其他相关文件</w:t>
      </w:r>
    </w:p>
    <w:p>
      <w:pPr>
        <w:pStyle w:val="95"/>
        <w:numPr>
          <w:ilvl w:val="0"/>
          <w:numId w:val="5"/>
        </w:numPr>
        <w:spacing w:line="520" w:lineRule="exact"/>
        <w:ind w:firstLine="560"/>
        <w:jc w:val="both"/>
        <w:rPr>
          <w:b w:val="0"/>
          <w:bCs w:val="0"/>
          <w:sz w:val="28"/>
          <w:szCs w:val="28"/>
        </w:rPr>
      </w:pPr>
      <w:bookmarkStart w:id="7" w:name="_Toc472856686"/>
      <w:r>
        <w:rPr>
          <w:b w:val="0"/>
          <w:bCs w:val="0"/>
          <w:sz w:val="28"/>
          <w:szCs w:val="28"/>
        </w:rPr>
        <w:t>企业营业执照；</w:t>
      </w:r>
    </w:p>
    <w:p>
      <w:pPr>
        <w:pStyle w:val="95"/>
        <w:spacing w:line="520" w:lineRule="exact"/>
        <w:ind w:firstLine="560"/>
        <w:jc w:val="both"/>
        <w:rPr>
          <w:b w:val="0"/>
          <w:bCs w:val="0"/>
          <w:sz w:val="28"/>
          <w:szCs w:val="28"/>
        </w:rPr>
      </w:pPr>
      <w:r>
        <w:rPr>
          <w:b w:val="0"/>
          <w:bCs w:val="0"/>
          <w:sz w:val="28"/>
          <w:szCs w:val="28"/>
        </w:rPr>
        <w:t>（2）《</w:t>
      </w:r>
      <w:r>
        <w:rPr>
          <w:rFonts w:hint="eastAsia"/>
          <w:b w:val="0"/>
          <w:bCs w:val="0"/>
          <w:sz w:val="28"/>
          <w:szCs w:val="28"/>
        </w:rPr>
        <w:t>航天动力材料聚磷腈项目一期配套20 kt/a电子级五氯化磷项目环境影响报告书</w:t>
      </w:r>
      <w:r>
        <w:rPr>
          <w:b w:val="0"/>
          <w:bCs w:val="0"/>
          <w:sz w:val="28"/>
          <w:szCs w:val="28"/>
        </w:rPr>
        <w:t>》，</w:t>
      </w:r>
      <w:r>
        <w:rPr>
          <w:rFonts w:hint="eastAsia"/>
          <w:b w:val="0"/>
          <w:bCs w:val="0"/>
          <w:sz w:val="28"/>
          <w:szCs w:val="28"/>
          <w:lang w:eastAsia="zh-CN"/>
        </w:rPr>
        <w:t>湖北正江</w:t>
      </w:r>
      <w:r>
        <w:rPr>
          <w:b w:val="0"/>
          <w:bCs w:val="0"/>
          <w:sz w:val="28"/>
          <w:szCs w:val="28"/>
        </w:rPr>
        <w:t>环保科技有限公司，20</w:t>
      </w:r>
      <w:r>
        <w:rPr>
          <w:rFonts w:hint="eastAsia"/>
          <w:b w:val="0"/>
          <w:bCs w:val="0"/>
          <w:sz w:val="28"/>
          <w:szCs w:val="28"/>
        </w:rPr>
        <w:t>21</w:t>
      </w:r>
      <w:r>
        <w:rPr>
          <w:b w:val="0"/>
          <w:bCs w:val="0"/>
          <w:sz w:val="28"/>
          <w:szCs w:val="28"/>
        </w:rPr>
        <w:t>年；</w:t>
      </w:r>
    </w:p>
    <w:p>
      <w:pPr>
        <w:pStyle w:val="95"/>
        <w:spacing w:line="520" w:lineRule="exact"/>
        <w:ind w:firstLine="560"/>
        <w:jc w:val="both"/>
        <w:rPr>
          <w:b w:val="0"/>
          <w:bCs w:val="0"/>
          <w:sz w:val="28"/>
          <w:szCs w:val="28"/>
        </w:rPr>
      </w:pPr>
      <w:r>
        <w:rPr>
          <w:b w:val="0"/>
          <w:bCs w:val="0"/>
          <w:sz w:val="28"/>
          <w:szCs w:val="28"/>
        </w:rPr>
        <w:t>（3）</w:t>
      </w:r>
      <w:r>
        <w:rPr>
          <w:rFonts w:hint="eastAsia"/>
          <w:b w:val="0"/>
          <w:bCs w:val="0"/>
          <w:sz w:val="28"/>
          <w:szCs w:val="28"/>
        </w:rPr>
        <w:t>《市生态环境局关于航天动力材料聚磷睛项目一期配套20kt/a电子级五氯化磷项目环境影响报告书的批复》，</w:t>
      </w:r>
      <w:r>
        <w:rPr>
          <w:rFonts w:hAnsi="仿宋" w:eastAsia="仿宋"/>
          <w:b w:val="0"/>
          <w:bCs w:val="0"/>
          <w:sz w:val="28"/>
          <w:szCs w:val="28"/>
        </w:rPr>
        <w:t>宜昌市</w:t>
      </w:r>
      <w:r>
        <w:rPr>
          <w:rFonts w:hint="eastAsia" w:hAnsi="仿宋" w:eastAsia="仿宋"/>
          <w:b w:val="0"/>
          <w:bCs w:val="0"/>
          <w:sz w:val="28"/>
          <w:szCs w:val="28"/>
        </w:rPr>
        <w:t>生态环境局</w:t>
      </w:r>
      <w:r>
        <w:rPr>
          <w:rFonts w:hAnsi="仿宋" w:eastAsia="仿宋"/>
          <w:b w:val="0"/>
          <w:bCs w:val="0"/>
          <w:sz w:val="28"/>
          <w:szCs w:val="28"/>
        </w:rPr>
        <w:t>，（宜</w:t>
      </w:r>
      <w:r>
        <w:rPr>
          <w:rFonts w:hint="eastAsia" w:hAnsi="仿宋" w:eastAsia="仿宋"/>
          <w:b w:val="0"/>
          <w:bCs w:val="0"/>
          <w:sz w:val="28"/>
          <w:szCs w:val="28"/>
        </w:rPr>
        <w:t>市</w:t>
      </w:r>
      <w:r>
        <w:rPr>
          <w:rFonts w:hAnsi="仿宋" w:eastAsia="仿宋"/>
          <w:b w:val="0"/>
          <w:bCs w:val="0"/>
          <w:sz w:val="28"/>
          <w:szCs w:val="28"/>
        </w:rPr>
        <w:t>环审〔</w:t>
      </w:r>
      <w:r>
        <w:rPr>
          <w:rFonts w:hint="eastAsia" w:eastAsia="仿宋"/>
          <w:b w:val="0"/>
          <w:bCs w:val="0"/>
          <w:sz w:val="28"/>
          <w:szCs w:val="28"/>
        </w:rPr>
        <w:t>2021</w:t>
      </w:r>
      <w:r>
        <w:rPr>
          <w:rFonts w:hAnsi="仿宋" w:eastAsia="仿宋"/>
          <w:b w:val="0"/>
          <w:bCs w:val="0"/>
          <w:sz w:val="28"/>
          <w:szCs w:val="28"/>
        </w:rPr>
        <w:t>〕</w:t>
      </w:r>
      <w:r>
        <w:rPr>
          <w:rFonts w:hint="eastAsia" w:eastAsia="仿宋"/>
          <w:b w:val="0"/>
          <w:bCs w:val="0"/>
          <w:sz w:val="28"/>
          <w:szCs w:val="28"/>
          <w:lang w:val="en-US" w:eastAsia="zh-CN"/>
        </w:rPr>
        <w:t>62</w:t>
      </w:r>
      <w:r>
        <w:rPr>
          <w:rFonts w:hAnsi="仿宋" w:eastAsia="仿宋"/>
          <w:b w:val="0"/>
          <w:bCs w:val="0"/>
          <w:sz w:val="28"/>
          <w:szCs w:val="28"/>
        </w:rPr>
        <w:t>号），</w:t>
      </w:r>
      <w:r>
        <w:rPr>
          <w:rFonts w:eastAsia="仿宋"/>
          <w:b w:val="0"/>
          <w:bCs w:val="0"/>
          <w:sz w:val="28"/>
          <w:szCs w:val="28"/>
        </w:rPr>
        <w:t>20</w:t>
      </w:r>
      <w:r>
        <w:rPr>
          <w:rFonts w:hint="eastAsia" w:eastAsia="仿宋"/>
          <w:b w:val="0"/>
          <w:bCs w:val="0"/>
          <w:sz w:val="28"/>
          <w:szCs w:val="28"/>
        </w:rPr>
        <w:t>21</w:t>
      </w:r>
      <w:r>
        <w:rPr>
          <w:rFonts w:eastAsia="仿宋"/>
          <w:b w:val="0"/>
          <w:bCs w:val="0"/>
          <w:sz w:val="28"/>
          <w:szCs w:val="28"/>
        </w:rPr>
        <w:t>.</w:t>
      </w:r>
      <w:r>
        <w:rPr>
          <w:rFonts w:hint="eastAsia" w:eastAsia="仿宋"/>
          <w:b w:val="0"/>
          <w:bCs w:val="0"/>
          <w:sz w:val="28"/>
          <w:szCs w:val="28"/>
          <w:lang w:val="en-US" w:eastAsia="zh-CN"/>
        </w:rPr>
        <w:t>11</w:t>
      </w:r>
      <w:r>
        <w:rPr>
          <w:b w:val="0"/>
          <w:bCs w:val="0"/>
          <w:sz w:val="28"/>
          <w:szCs w:val="28"/>
        </w:rPr>
        <w:t>。</w:t>
      </w:r>
    </w:p>
    <w:p>
      <w:pPr>
        <w:pStyle w:val="6"/>
        <w:spacing w:before="0" w:beforeAutospacing="0" w:line="520" w:lineRule="exact"/>
        <w:ind w:left="0" w:firstLine="0"/>
      </w:pPr>
      <w:bookmarkStart w:id="8" w:name="_Toc3528"/>
      <w:r>
        <w:t>适用范围</w:t>
      </w:r>
      <w:bookmarkEnd w:id="7"/>
      <w:bookmarkEnd w:id="8"/>
    </w:p>
    <w:p>
      <w:pPr>
        <w:pStyle w:val="95"/>
        <w:spacing w:line="520" w:lineRule="exact"/>
        <w:ind w:firstLine="560"/>
        <w:jc w:val="both"/>
        <w:rPr>
          <w:b w:val="0"/>
          <w:bCs/>
          <w:sz w:val="28"/>
          <w:szCs w:val="28"/>
        </w:rPr>
      </w:pPr>
      <w:bookmarkStart w:id="9" w:name="_Toc472856687"/>
      <w:r>
        <w:rPr>
          <w:rFonts w:hint="eastAsia"/>
          <w:b w:val="0"/>
          <w:bCs/>
          <w:sz w:val="28"/>
          <w:szCs w:val="28"/>
        </w:rPr>
        <w:t>本次环境</w:t>
      </w:r>
      <w:r>
        <w:rPr>
          <w:b w:val="0"/>
          <w:bCs/>
          <w:sz w:val="28"/>
          <w:szCs w:val="28"/>
        </w:rPr>
        <w:t>风险</w:t>
      </w:r>
      <w:r>
        <w:rPr>
          <w:rFonts w:hint="eastAsia"/>
          <w:b w:val="0"/>
          <w:bCs/>
          <w:sz w:val="28"/>
          <w:szCs w:val="28"/>
        </w:rPr>
        <w:t>评估报告仅适用</w:t>
      </w:r>
      <w:r>
        <w:rPr>
          <w:b w:val="0"/>
          <w:bCs/>
          <w:sz w:val="28"/>
          <w:szCs w:val="28"/>
        </w:rPr>
        <w:t>于</w:t>
      </w:r>
      <w:r>
        <w:rPr>
          <w:rFonts w:hint="eastAsia"/>
          <w:b w:val="0"/>
          <w:bCs/>
          <w:sz w:val="28"/>
          <w:szCs w:val="28"/>
        </w:rPr>
        <w:t>位于</w:t>
      </w:r>
      <w:r>
        <w:rPr>
          <w:rFonts w:hint="eastAsia"/>
          <w:b w:val="0"/>
          <w:bCs/>
          <w:sz w:val="28"/>
          <w:szCs w:val="28"/>
          <w:lang w:eastAsia="zh-CN"/>
        </w:rPr>
        <w:t>宜昌市</w:t>
      </w:r>
      <w:r>
        <w:rPr>
          <w:rFonts w:hint="eastAsia"/>
          <w:b w:val="0"/>
          <w:bCs/>
          <w:sz w:val="28"/>
          <w:szCs w:val="28"/>
        </w:rPr>
        <w:t>远安航天动力材料产业园（江北片区）湖北航欧新材料科技有限公司航天动力材料聚磷腈项目一期配套20 kt/a电子级五氯化磷项目在生产、贮存</w:t>
      </w:r>
      <w:r>
        <w:rPr>
          <w:b w:val="0"/>
          <w:bCs/>
          <w:sz w:val="28"/>
          <w:szCs w:val="28"/>
        </w:rPr>
        <w:t>过程中</w:t>
      </w:r>
      <w:r>
        <w:rPr>
          <w:rFonts w:hint="eastAsia"/>
          <w:b w:val="0"/>
          <w:bCs/>
          <w:sz w:val="28"/>
          <w:szCs w:val="28"/>
        </w:rPr>
        <w:t>可能发生的突发环境事件的环境风险等级评估，不包括本公司在其他地点建设项目或者该企业后续建设项目的环境风险评估。</w:t>
      </w:r>
    </w:p>
    <w:p>
      <w:pPr>
        <w:pStyle w:val="8"/>
        <w:spacing w:line="520" w:lineRule="exact"/>
        <w:ind w:left="0" w:firstLine="0"/>
        <w:rPr>
          <w:rFonts w:eastAsia="仿宋_GB2312"/>
          <w:sz w:val="28"/>
          <w:szCs w:val="28"/>
        </w:rPr>
      </w:pPr>
      <w:r>
        <w:rPr>
          <w:rFonts w:eastAsia="仿宋_GB2312"/>
          <w:sz w:val="28"/>
          <w:szCs w:val="28"/>
        </w:rPr>
        <w:t>突发环境事件分级</w:t>
      </w:r>
      <w:bookmarkEnd w:id="9"/>
    </w:p>
    <w:p>
      <w:pPr>
        <w:pStyle w:val="95"/>
        <w:spacing w:line="520" w:lineRule="exact"/>
        <w:ind w:firstLine="560"/>
        <w:jc w:val="both"/>
        <w:rPr>
          <w:b w:val="0"/>
          <w:bCs w:val="0"/>
          <w:sz w:val="28"/>
          <w:szCs w:val="28"/>
        </w:rPr>
      </w:pPr>
      <w:r>
        <w:rPr>
          <w:rFonts w:hint="eastAsia"/>
          <w:b w:val="0"/>
          <w:bCs w:val="0"/>
          <w:sz w:val="28"/>
          <w:szCs w:val="28"/>
        </w:rPr>
        <w:t>国家级突发环境事件：达到国家突发环境事件分级标准事件。</w:t>
      </w:r>
    </w:p>
    <w:p>
      <w:pPr>
        <w:pStyle w:val="95"/>
        <w:spacing w:line="520" w:lineRule="exact"/>
        <w:ind w:firstLine="560"/>
        <w:jc w:val="both"/>
        <w:rPr>
          <w:b w:val="0"/>
          <w:bCs w:val="0"/>
          <w:sz w:val="28"/>
          <w:szCs w:val="28"/>
        </w:rPr>
      </w:pPr>
      <w:r>
        <w:rPr>
          <w:rFonts w:hint="eastAsia"/>
          <w:b w:val="0"/>
          <w:bCs w:val="0"/>
          <w:sz w:val="28"/>
          <w:szCs w:val="28"/>
        </w:rPr>
        <w:t>根据《突发环境事件信息报告办法》（环境保护部令第 17 号）“突发环境事件分级标准”和突发环境事件严重性和紧急程度，通过对可能存在的突发环境事件及危险性分析，本单位发生的环境事件最大可能在国家一般事件以下，为加强单位突发环境事件的应急管理，将厂内部突发环境事件分为特别重大（I级）、重大（II级）、较大（III级）、一般（</w:t>
      </w:r>
      <w:r>
        <w:rPr>
          <w:rFonts w:eastAsia="宋体"/>
          <w:b w:val="0"/>
          <w:bCs w:val="0"/>
          <w:sz w:val="28"/>
          <w:szCs w:val="28"/>
        </w:rPr>
        <w:t>Ⅳ</w:t>
      </w:r>
      <w:r>
        <w:rPr>
          <w:rFonts w:hint="eastAsia"/>
          <w:b w:val="0"/>
          <w:bCs w:val="0"/>
          <w:sz w:val="28"/>
          <w:szCs w:val="28"/>
        </w:rPr>
        <w:t>级）四级。</w:t>
      </w:r>
    </w:p>
    <w:p>
      <w:pPr>
        <w:pStyle w:val="8"/>
        <w:spacing w:line="520" w:lineRule="exact"/>
        <w:ind w:left="0" w:firstLine="0"/>
        <w:rPr>
          <w:rFonts w:eastAsia="仿宋_GB2312"/>
          <w:sz w:val="28"/>
          <w:szCs w:val="28"/>
        </w:rPr>
      </w:pPr>
      <w:r>
        <w:rPr>
          <w:rFonts w:hint="eastAsia" w:eastAsia="仿宋_GB2312"/>
          <w:sz w:val="28"/>
          <w:szCs w:val="28"/>
        </w:rPr>
        <w:t>特别重大（</w:t>
      </w:r>
      <w:r>
        <w:rPr>
          <w:rFonts w:hint="eastAsia"/>
          <w:sz w:val="28"/>
          <w:szCs w:val="28"/>
        </w:rPr>
        <w:t>I</w:t>
      </w:r>
      <w:r>
        <w:rPr>
          <w:rFonts w:hint="eastAsia" w:eastAsia="仿宋_GB2312"/>
          <w:sz w:val="28"/>
          <w:szCs w:val="28"/>
        </w:rPr>
        <w:t>级）突发环境事件</w:t>
      </w:r>
    </w:p>
    <w:p>
      <w:pPr>
        <w:pStyle w:val="95"/>
        <w:spacing w:line="520" w:lineRule="exact"/>
        <w:ind w:firstLine="560"/>
        <w:jc w:val="both"/>
        <w:rPr>
          <w:b w:val="0"/>
          <w:bCs w:val="0"/>
          <w:sz w:val="28"/>
          <w:szCs w:val="28"/>
        </w:rPr>
      </w:pPr>
      <w:r>
        <w:rPr>
          <w:rFonts w:hint="eastAsia"/>
          <w:b w:val="0"/>
          <w:bCs w:val="0"/>
          <w:sz w:val="28"/>
          <w:szCs w:val="28"/>
        </w:rPr>
        <w:t>凡符合下列情形之一的，为一级（特别重大突发环境事件）：</w:t>
      </w:r>
    </w:p>
    <w:p>
      <w:pPr>
        <w:pStyle w:val="95"/>
        <w:spacing w:line="520" w:lineRule="exact"/>
        <w:ind w:firstLine="560"/>
        <w:jc w:val="both"/>
        <w:rPr>
          <w:b w:val="0"/>
          <w:bCs w:val="0"/>
          <w:sz w:val="28"/>
          <w:szCs w:val="28"/>
        </w:rPr>
      </w:pPr>
      <w:r>
        <w:rPr>
          <w:rFonts w:hint="eastAsia"/>
          <w:b w:val="0"/>
          <w:bCs w:val="0"/>
          <w:sz w:val="28"/>
          <w:szCs w:val="28"/>
        </w:rPr>
        <w:t>（1）因环境污染直接导致30人以上死亡或100人以上中毒或重伤的；</w:t>
      </w:r>
    </w:p>
    <w:p>
      <w:pPr>
        <w:pStyle w:val="95"/>
        <w:spacing w:line="520" w:lineRule="exact"/>
        <w:ind w:firstLine="560"/>
        <w:jc w:val="both"/>
        <w:rPr>
          <w:b w:val="0"/>
          <w:bCs w:val="0"/>
          <w:sz w:val="28"/>
          <w:szCs w:val="28"/>
        </w:rPr>
      </w:pPr>
      <w:r>
        <w:rPr>
          <w:rFonts w:hint="eastAsia"/>
          <w:b w:val="0"/>
          <w:bCs w:val="0"/>
          <w:sz w:val="28"/>
          <w:szCs w:val="28"/>
        </w:rPr>
        <w:t>（2）因环境污染疏散、转移人员5万人以上的；</w:t>
      </w:r>
    </w:p>
    <w:p>
      <w:pPr>
        <w:pStyle w:val="95"/>
        <w:spacing w:line="520" w:lineRule="exact"/>
        <w:ind w:firstLine="560"/>
        <w:jc w:val="both"/>
        <w:rPr>
          <w:b w:val="0"/>
          <w:bCs w:val="0"/>
          <w:sz w:val="28"/>
          <w:szCs w:val="28"/>
        </w:rPr>
      </w:pPr>
      <w:r>
        <w:rPr>
          <w:rFonts w:hint="eastAsia"/>
          <w:b w:val="0"/>
          <w:bCs w:val="0"/>
          <w:sz w:val="28"/>
          <w:szCs w:val="28"/>
        </w:rPr>
        <w:t>（3）因环境污染造成直接经济损失1亿元以上的；</w:t>
      </w:r>
    </w:p>
    <w:p>
      <w:pPr>
        <w:pStyle w:val="95"/>
        <w:spacing w:line="520" w:lineRule="exact"/>
        <w:ind w:firstLine="560"/>
        <w:jc w:val="both"/>
        <w:rPr>
          <w:b w:val="0"/>
          <w:bCs w:val="0"/>
          <w:sz w:val="28"/>
          <w:szCs w:val="28"/>
        </w:rPr>
      </w:pPr>
      <w:r>
        <w:rPr>
          <w:rFonts w:hint="eastAsia"/>
          <w:b w:val="0"/>
          <w:bCs w:val="0"/>
          <w:sz w:val="28"/>
          <w:szCs w:val="28"/>
        </w:rPr>
        <w:t>（4）因环境污染造成区域生态功能丧失或该区域国家重点保护物种灭绝的；</w:t>
      </w:r>
    </w:p>
    <w:p>
      <w:pPr>
        <w:pStyle w:val="95"/>
        <w:spacing w:line="520" w:lineRule="exact"/>
        <w:ind w:firstLine="560"/>
        <w:jc w:val="both"/>
        <w:rPr>
          <w:b w:val="0"/>
          <w:bCs w:val="0"/>
          <w:sz w:val="28"/>
          <w:szCs w:val="28"/>
        </w:rPr>
      </w:pPr>
      <w:r>
        <w:rPr>
          <w:rFonts w:hint="eastAsia"/>
          <w:b w:val="0"/>
          <w:bCs w:val="0"/>
          <w:sz w:val="28"/>
          <w:szCs w:val="28"/>
        </w:rPr>
        <w:t>（5）因环境污染造成设区的市级以上城市集中式饮用水水源地取水中断的。</w:t>
      </w:r>
    </w:p>
    <w:p>
      <w:pPr>
        <w:pStyle w:val="8"/>
        <w:spacing w:line="520" w:lineRule="exact"/>
        <w:ind w:left="0" w:firstLine="0"/>
        <w:rPr>
          <w:rFonts w:eastAsia="仿宋_GB2312"/>
          <w:sz w:val="28"/>
          <w:szCs w:val="28"/>
        </w:rPr>
      </w:pPr>
      <w:r>
        <w:rPr>
          <w:rFonts w:hint="eastAsia" w:eastAsia="仿宋_GB2312"/>
          <w:sz w:val="28"/>
          <w:szCs w:val="28"/>
        </w:rPr>
        <w:t>重大（</w:t>
      </w:r>
      <w:r>
        <w:rPr>
          <w:rFonts w:hint="eastAsia"/>
          <w:sz w:val="28"/>
          <w:szCs w:val="28"/>
        </w:rPr>
        <w:t>II</w:t>
      </w:r>
      <w:r>
        <w:rPr>
          <w:rFonts w:hint="eastAsia" w:eastAsia="仿宋_GB2312"/>
          <w:sz w:val="28"/>
          <w:szCs w:val="28"/>
        </w:rPr>
        <w:t>级）突发环境事件</w:t>
      </w:r>
    </w:p>
    <w:p>
      <w:pPr>
        <w:pStyle w:val="95"/>
        <w:spacing w:line="520" w:lineRule="exact"/>
        <w:ind w:firstLine="560"/>
        <w:jc w:val="both"/>
        <w:rPr>
          <w:b w:val="0"/>
          <w:bCs w:val="0"/>
          <w:sz w:val="28"/>
          <w:szCs w:val="28"/>
        </w:rPr>
      </w:pPr>
      <w:r>
        <w:rPr>
          <w:rFonts w:hint="eastAsia"/>
          <w:b w:val="0"/>
          <w:bCs w:val="0"/>
          <w:sz w:val="28"/>
          <w:szCs w:val="28"/>
        </w:rPr>
        <w:t>（1）因环境污染直接导致10人以上30人以下死亡或50人以上100人以下中毒或重伤的；</w:t>
      </w:r>
    </w:p>
    <w:p>
      <w:pPr>
        <w:pStyle w:val="95"/>
        <w:spacing w:line="520" w:lineRule="exact"/>
        <w:ind w:firstLine="560"/>
        <w:jc w:val="both"/>
        <w:rPr>
          <w:b w:val="0"/>
          <w:bCs w:val="0"/>
          <w:sz w:val="28"/>
          <w:szCs w:val="28"/>
        </w:rPr>
      </w:pPr>
      <w:r>
        <w:rPr>
          <w:rFonts w:hint="eastAsia"/>
          <w:b w:val="0"/>
          <w:bCs w:val="0"/>
          <w:sz w:val="28"/>
          <w:szCs w:val="28"/>
        </w:rPr>
        <w:t>（2）因环境污染疏散、转移人员1万人以上5万人以下的；</w:t>
      </w:r>
    </w:p>
    <w:p>
      <w:pPr>
        <w:pStyle w:val="95"/>
        <w:spacing w:line="520" w:lineRule="exact"/>
        <w:ind w:firstLine="560"/>
        <w:jc w:val="both"/>
        <w:rPr>
          <w:b w:val="0"/>
          <w:bCs w:val="0"/>
          <w:sz w:val="28"/>
          <w:szCs w:val="28"/>
        </w:rPr>
      </w:pPr>
      <w:r>
        <w:rPr>
          <w:rFonts w:hint="eastAsia"/>
          <w:b w:val="0"/>
          <w:bCs w:val="0"/>
          <w:sz w:val="28"/>
          <w:szCs w:val="28"/>
        </w:rPr>
        <w:t>（3）因环境污染造成直接经济损失2000万元以上1亿元以下的；</w:t>
      </w:r>
    </w:p>
    <w:p>
      <w:pPr>
        <w:pStyle w:val="95"/>
        <w:spacing w:line="520" w:lineRule="exact"/>
        <w:ind w:firstLine="560"/>
        <w:jc w:val="both"/>
        <w:rPr>
          <w:b w:val="0"/>
          <w:bCs w:val="0"/>
          <w:sz w:val="28"/>
          <w:szCs w:val="28"/>
        </w:rPr>
      </w:pPr>
      <w:r>
        <w:rPr>
          <w:rFonts w:hint="eastAsia"/>
          <w:b w:val="0"/>
          <w:bCs w:val="0"/>
          <w:sz w:val="28"/>
          <w:szCs w:val="28"/>
        </w:rPr>
        <w:t>（4）因环境污染造成区域生态功能部分丧失或该区域国家重点保护野生动植物种群大批死亡的；</w:t>
      </w:r>
    </w:p>
    <w:p>
      <w:pPr>
        <w:pStyle w:val="95"/>
        <w:spacing w:line="520" w:lineRule="exact"/>
        <w:ind w:firstLine="560"/>
        <w:jc w:val="both"/>
        <w:rPr>
          <w:b w:val="0"/>
          <w:bCs w:val="0"/>
          <w:sz w:val="28"/>
          <w:szCs w:val="28"/>
        </w:rPr>
      </w:pPr>
      <w:r>
        <w:rPr>
          <w:rFonts w:hint="eastAsia"/>
          <w:b w:val="0"/>
          <w:bCs w:val="0"/>
          <w:sz w:val="28"/>
          <w:szCs w:val="28"/>
        </w:rPr>
        <w:t>（5）因环境污染造成县级城市集中式饮用水水源地取水中断的。</w:t>
      </w:r>
    </w:p>
    <w:p>
      <w:pPr>
        <w:pStyle w:val="8"/>
        <w:spacing w:line="520" w:lineRule="exact"/>
        <w:ind w:left="0" w:firstLine="0"/>
        <w:rPr>
          <w:rFonts w:eastAsia="仿宋_GB2312"/>
          <w:sz w:val="28"/>
          <w:szCs w:val="28"/>
        </w:rPr>
      </w:pPr>
      <w:r>
        <w:rPr>
          <w:rFonts w:hint="eastAsia" w:eastAsia="仿宋_GB2312"/>
          <w:sz w:val="28"/>
          <w:szCs w:val="28"/>
        </w:rPr>
        <w:t>较大（</w:t>
      </w:r>
      <w:r>
        <w:rPr>
          <w:rFonts w:hint="eastAsia"/>
          <w:sz w:val="28"/>
          <w:szCs w:val="28"/>
        </w:rPr>
        <w:t>III</w:t>
      </w:r>
      <w:r>
        <w:rPr>
          <w:rFonts w:hint="eastAsia" w:eastAsia="仿宋_GB2312"/>
          <w:sz w:val="28"/>
          <w:szCs w:val="28"/>
        </w:rPr>
        <w:t>级）突发环境事件</w:t>
      </w:r>
    </w:p>
    <w:p>
      <w:pPr>
        <w:pStyle w:val="95"/>
        <w:spacing w:line="520" w:lineRule="exact"/>
        <w:ind w:firstLine="560"/>
        <w:jc w:val="both"/>
        <w:rPr>
          <w:b w:val="0"/>
          <w:bCs w:val="0"/>
          <w:sz w:val="28"/>
          <w:szCs w:val="28"/>
        </w:rPr>
      </w:pPr>
      <w:r>
        <w:rPr>
          <w:rFonts w:hint="eastAsia"/>
          <w:b w:val="0"/>
          <w:bCs w:val="0"/>
          <w:sz w:val="28"/>
          <w:szCs w:val="28"/>
        </w:rPr>
        <w:t>（1）因环境污染直接导致3人以上10人以下死亡或10人以上50人以下中毒或重伤的；</w:t>
      </w:r>
    </w:p>
    <w:p>
      <w:pPr>
        <w:pStyle w:val="95"/>
        <w:spacing w:line="520" w:lineRule="exact"/>
        <w:ind w:firstLine="560"/>
        <w:jc w:val="both"/>
        <w:rPr>
          <w:b w:val="0"/>
          <w:bCs w:val="0"/>
          <w:sz w:val="28"/>
          <w:szCs w:val="28"/>
        </w:rPr>
      </w:pPr>
      <w:r>
        <w:rPr>
          <w:rFonts w:hint="eastAsia"/>
          <w:b w:val="0"/>
          <w:bCs w:val="0"/>
          <w:sz w:val="28"/>
          <w:szCs w:val="28"/>
        </w:rPr>
        <w:t>（2）因环境污染疏散、转移人员5000人以上1万人以下的；</w:t>
      </w:r>
    </w:p>
    <w:p>
      <w:pPr>
        <w:pStyle w:val="95"/>
        <w:spacing w:line="520" w:lineRule="exact"/>
        <w:ind w:firstLine="560"/>
        <w:jc w:val="both"/>
        <w:rPr>
          <w:b w:val="0"/>
          <w:bCs w:val="0"/>
          <w:sz w:val="28"/>
          <w:szCs w:val="28"/>
        </w:rPr>
      </w:pPr>
      <w:r>
        <w:rPr>
          <w:rFonts w:hint="eastAsia"/>
          <w:b w:val="0"/>
          <w:bCs w:val="0"/>
          <w:sz w:val="28"/>
          <w:szCs w:val="28"/>
        </w:rPr>
        <w:t>（3）因环境污染造成直接经济损失500万元以上2000万元以下的；</w:t>
      </w:r>
    </w:p>
    <w:p>
      <w:pPr>
        <w:pStyle w:val="95"/>
        <w:spacing w:line="520" w:lineRule="exact"/>
        <w:ind w:firstLine="560"/>
        <w:jc w:val="both"/>
        <w:rPr>
          <w:b w:val="0"/>
          <w:bCs w:val="0"/>
          <w:sz w:val="28"/>
          <w:szCs w:val="28"/>
        </w:rPr>
      </w:pPr>
      <w:r>
        <w:rPr>
          <w:rFonts w:hint="eastAsia"/>
          <w:b w:val="0"/>
          <w:bCs w:val="0"/>
          <w:sz w:val="28"/>
          <w:szCs w:val="28"/>
        </w:rPr>
        <w:t>（4）因环境污染造成国家重点保护的动植物物种受到破坏的；</w:t>
      </w:r>
    </w:p>
    <w:p>
      <w:pPr>
        <w:pStyle w:val="95"/>
        <w:spacing w:line="520" w:lineRule="exact"/>
        <w:ind w:firstLine="560"/>
        <w:jc w:val="both"/>
        <w:rPr>
          <w:sz w:val="28"/>
          <w:szCs w:val="28"/>
        </w:rPr>
      </w:pPr>
      <w:r>
        <w:rPr>
          <w:rFonts w:hint="eastAsia"/>
          <w:b w:val="0"/>
          <w:bCs w:val="0"/>
          <w:sz w:val="28"/>
          <w:szCs w:val="28"/>
        </w:rPr>
        <w:t>（5）因环境污染造成乡镇集中式饮用水水源地取水中断的。</w:t>
      </w:r>
    </w:p>
    <w:p>
      <w:pPr>
        <w:pStyle w:val="8"/>
        <w:spacing w:line="520" w:lineRule="exact"/>
        <w:ind w:left="0" w:firstLine="0"/>
        <w:rPr>
          <w:rFonts w:eastAsia="仿宋_GB2312"/>
          <w:sz w:val="28"/>
          <w:szCs w:val="28"/>
        </w:rPr>
      </w:pPr>
      <w:r>
        <w:rPr>
          <w:rFonts w:hint="eastAsia" w:eastAsia="仿宋_GB2312"/>
          <w:sz w:val="28"/>
          <w:szCs w:val="28"/>
        </w:rPr>
        <w:t>一般（</w:t>
      </w:r>
      <w:r>
        <w:rPr>
          <w:rFonts w:eastAsia="宋体"/>
          <w:sz w:val="28"/>
          <w:szCs w:val="28"/>
        </w:rPr>
        <w:t>Ⅳ</w:t>
      </w:r>
      <w:r>
        <w:rPr>
          <w:rFonts w:hint="eastAsia" w:eastAsia="仿宋_GB2312"/>
          <w:sz w:val="28"/>
          <w:szCs w:val="28"/>
        </w:rPr>
        <w:t>级）突发环境事件</w:t>
      </w:r>
    </w:p>
    <w:p>
      <w:pPr>
        <w:pStyle w:val="95"/>
        <w:spacing w:line="520" w:lineRule="exact"/>
        <w:ind w:firstLine="560"/>
        <w:jc w:val="both"/>
        <w:rPr>
          <w:b w:val="0"/>
          <w:bCs w:val="0"/>
          <w:sz w:val="28"/>
          <w:szCs w:val="28"/>
        </w:rPr>
      </w:pPr>
      <w:r>
        <w:rPr>
          <w:rFonts w:hint="eastAsia"/>
          <w:b w:val="0"/>
          <w:bCs w:val="0"/>
          <w:sz w:val="28"/>
          <w:szCs w:val="28"/>
        </w:rPr>
        <w:t>（1）因环境污染直接导致3人以下死亡或10人以下中毒或重伤的；</w:t>
      </w:r>
    </w:p>
    <w:p>
      <w:pPr>
        <w:pStyle w:val="95"/>
        <w:spacing w:line="520" w:lineRule="exact"/>
        <w:ind w:firstLine="560"/>
        <w:jc w:val="both"/>
        <w:rPr>
          <w:b w:val="0"/>
          <w:bCs w:val="0"/>
          <w:sz w:val="28"/>
          <w:szCs w:val="28"/>
        </w:rPr>
      </w:pPr>
      <w:r>
        <w:rPr>
          <w:rFonts w:hint="eastAsia"/>
          <w:b w:val="0"/>
          <w:bCs w:val="0"/>
          <w:sz w:val="28"/>
          <w:szCs w:val="28"/>
        </w:rPr>
        <w:t>（2）因环境污染疏散、转移人员5000人以下的；</w:t>
      </w:r>
    </w:p>
    <w:p>
      <w:pPr>
        <w:pStyle w:val="95"/>
        <w:spacing w:line="520" w:lineRule="exact"/>
        <w:ind w:firstLine="560"/>
        <w:jc w:val="both"/>
        <w:rPr>
          <w:b w:val="0"/>
          <w:bCs w:val="0"/>
          <w:sz w:val="28"/>
          <w:szCs w:val="28"/>
        </w:rPr>
      </w:pPr>
      <w:r>
        <w:rPr>
          <w:rFonts w:hint="eastAsia"/>
          <w:b w:val="0"/>
          <w:bCs w:val="0"/>
          <w:sz w:val="28"/>
          <w:szCs w:val="28"/>
        </w:rPr>
        <w:t>（3）因环境污染造成直接经济损失500万元以下的；</w:t>
      </w:r>
    </w:p>
    <w:p>
      <w:pPr>
        <w:pStyle w:val="95"/>
        <w:spacing w:line="520" w:lineRule="exact"/>
        <w:ind w:firstLine="560"/>
        <w:jc w:val="both"/>
        <w:rPr>
          <w:b w:val="0"/>
          <w:bCs w:val="0"/>
          <w:sz w:val="28"/>
          <w:szCs w:val="28"/>
        </w:rPr>
      </w:pPr>
      <w:r>
        <w:rPr>
          <w:rFonts w:hint="eastAsia"/>
          <w:b w:val="0"/>
          <w:bCs w:val="0"/>
          <w:sz w:val="28"/>
          <w:szCs w:val="28"/>
        </w:rPr>
        <w:t>（4）因环境污染造成跨县级行政区域纠纷，引起一般性群体影响的；</w:t>
      </w:r>
    </w:p>
    <w:p>
      <w:pPr>
        <w:pStyle w:val="95"/>
        <w:spacing w:line="520" w:lineRule="exact"/>
        <w:ind w:firstLine="560"/>
        <w:jc w:val="both"/>
        <w:rPr>
          <w:b w:val="0"/>
          <w:bCs w:val="0"/>
          <w:sz w:val="28"/>
          <w:szCs w:val="28"/>
        </w:rPr>
      </w:pPr>
      <w:r>
        <w:rPr>
          <w:rFonts w:hint="eastAsia"/>
          <w:b w:val="0"/>
          <w:bCs w:val="0"/>
          <w:sz w:val="28"/>
          <w:szCs w:val="28"/>
        </w:rPr>
        <w:t>（5）对环境造成一定影响，尚未达到较大突发环境事件级别的。</w:t>
      </w:r>
    </w:p>
    <w:p>
      <w:pPr>
        <w:pStyle w:val="32"/>
        <w:spacing w:line="240" w:lineRule="auto"/>
        <w:rPr>
          <w:rFonts w:eastAsia="仿宋"/>
          <w:b w:val="0"/>
          <w:bCs w:val="0"/>
          <w:snapToGrid/>
          <w:kern w:val="2"/>
          <w:sz w:val="28"/>
          <w:szCs w:val="28"/>
        </w:rPr>
      </w:pPr>
      <w:bookmarkStart w:id="10" w:name="_Toc472856688"/>
      <w:r>
        <w:rPr>
          <w:rFonts w:hint="eastAsia" w:eastAsia="仿宋"/>
          <w:b w:val="0"/>
          <w:bCs w:val="0"/>
          <w:snapToGrid/>
          <w:kern w:val="2"/>
          <w:sz w:val="28"/>
          <w:szCs w:val="28"/>
        </w:rPr>
        <w:t>表1.3-1  公司突发环境事件分级一览表</w:t>
      </w:r>
    </w:p>
    <w:tbl>
      <w:tblPr>
        <w:tblStyle w:val="35"/>
        <w:tblW w:w="500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43"/>
        <w:gridCol w:w="3869"/>
        <w:gridCol w:w="431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06" w:type="pct"/>
            <w:vMerge w:val="restart"/>
            <w:noWrap/>
            <w:vAlign w:val="center"/>
          </w:tcPr>
          <w:p>
            <w:pPr>
              <w:pStyle w:val="95"/>
              <w:ind w:firstLine="0" w:firstLineChars="0"/>
              <w:jc w:val="center"/>
              <w:rPr>
                <w:rFonts w:eastAsia="仿宋"/>
                <w:bCs w:val="0"/>
                <w:kern w:val="2"/>
                <w:sz w:val="21"/>
                <w:szCs w:val="22"/>
                <w:lang w:val="en-US" w:eastAsia="zh-CN"/>
              </w:rPr>
            </w:pPr>
            <w:r>
              <w:rPr>
                <w:rFonts w:eastAsia="仿宋"/>
                <w:bCs w:val="0"/>
                <w:kern w:val="2"/>
                <w:sz w:val="21"/>
                <w:szCs w:val="22"/>
                <w:lang w:val="en-US" w:eastAsia="zh-CN"/>
              </w:rPr>
              <w:t>分级</w:t>
            </w:r>
          </w:p>
        </w:tc>
        <w:tc>
          <w:tcPr>
            <w:tcW w:w="2630" w:type="pct"/>
            <w:vMerge w:val="restart"/>
            <w:noWrap/>
            <w:vAlign w:val="center"/>
          </w:tcPr>
          <w:p>
            <w:pPr>
              <w:pStyle w:val="95"/>
              <w:ind w:firstLine="0" w:firstLineChars="0"/>
              <w:jc w:val="center"/>
              <w:rPr>
                <w:rFonts w:eastAsia="仿宋"/>
                <w:bCs w:val="0"/>
                <w:kern w:val="2"/>
                <w:sz w:val="21"/>
                <w:szCs w:val="22"/>
                <w:lang w:val="en-US" w:eastAsia="zh-CN"/>
              </w:rPr>
            </w:pPr>
            <w:r>
              <w:rPr>
                <w:rFonts w:eastAsia="仿宋"/>
                <w:bCs w:val="0"/>
                <w:kern w:val="2"/>
                <w:sz w:val="21"/>
                <w:szCs w:val="22"/>
                <w:lang w:val="en-US" w:eastAsia="zh-CN"/>
              </w:rPr>
              <w:t>突发环境事件情形</w:t>
            </w:r>
          </w:p>
        </w:tc>
        <w:tc>
          <w:tcPr>
            <w:tcW w:w="1963" w:type="pct"/>
            <w:vMerge w:val="restart"/>
            <w:noWrap/>
            <w:vAlign w:val="center"/>
          </w:tcPr>
          <w:p>
            <w:pPr>
              <w:pStyle w:val="95"/>
              <w:ind w:firstLine="0" w:firstLineChars="0"/>
              <w:jc w:val="center"/>
              <w:rPr>
                <w:rFonts w:eastAsia="仿宋"/>
                <w:bCs w:val="0"/>
                <w:kern w:val="2"/>
                <w:sz w:val="21"/>
                <w:szCs w:val="22"/>
                <w:lang w:val="en-US" w:eastAsia="zh-CN"/>
              </w:rPr>
            </w:pPr>
            <w:r>
              <w:rPr>
                <w:rFonts w:eastAsia="仿宋"/>
                <w:bCs w:val="0"/>
                <w:kern w:val="2"/>
                <w:sz w:val="21"/>
                <w:szCs w:val="22"/>
                <w:lang w:val="en-US" w:eastAsia="zh-CN"/>
              </w:rPr>
              <w:t>具体事故类型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06" w:type="pct"/>
            <w:vMerge w:val="continue"/>
            <w:noWrap/>
            <w:vAlign w:val="center"/>
          </w:tcPr>
          <w:p>
            <w:pPr>
              <w:pStyle w:val="95"/>
              <w:ind w:firstLine="0" w:firstLineChars="0"/>
              <w:jc w:val="center"/>
              <w:rPr>
                <w:rFonts w:eastAsia="仿宋"/>
                <w:b w:val="0"/>
                <w:kern w:val="2"/>
                <w:sz w:val="21"/>
                <w:szCs w:val="22"/>
                <w:lang w:val="en-US" w:eastAsia="zh-CN"/>
              </w:rPr>
            </w:pPr>
          </w:p>
        </w:tc>
        <w:tc>
          <w:tcPr>
            <w:tcW w:w="2630" w:type="pct"/>
            <w:vMerge w:val="continue"/>
            <w:noWrap/>
            <w:vAlign w:val="center"/>
          </w:tcPr>
          <w:p>
            <w:pPr>
              <w:pStyle w:val="95"/>
              <w:ind w:firstLine="0" w:firstLineChars="0"/>
              <w:jc w:val="center"/>
              <w:rPr>
                <w:rFonts w:eastAsia="仿宋"/>
                <w:b w:val="0"/>
                <w:kern w:val="2"/>
                <w:sz w:val="21"/>
                <w:szCs w:val="22"/>
                <w:lang w:val="en-US" w:eastAsia="zh-CN"/>
              </w:rPr>
            </w:pPr>
          </w:p>
        </w:tc>
        <w:tc>
          <w:tcPr>
            <w:tcW w:w="1963" w:type="pct"/>
            <w:vMerge w:val="continue"/>
            <w:noWrap/>
            <w:vAlign w:val="center"/>
          </w:tcPr>
          <w:p>
            <w:pPr>
              <w:pStyle w:val="95"/>
              <w:ind w:firstLine="0" w:firstLineChars="0"/>
              <w:jc w:val="center"/>
              <w:rPr>
                <w:rFonts w:eastAsia="仿宋"/>
                <w:b w:val="0"/>
                <w:kern w:val="2"/>
                <w:sz w:val="21"/>
                <w:szCs w:val="22"/>
                <w:lang w:val="en-US" w:eastAsia="zh-CN"/>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06" w:type="pct"/>
            <w:noWrap/>
            <w:vAlign w:val="center"/>
          </w:tcPr>
          <w:p>
            <w:pPr>
              <w:pStyle w:val="95"/>
              <w:ind w:firstLine="0" w:firstLineChars="0"/>
              <w:jc w:val="center"/>
              <w:rPr>
                <w:rFonts w:eastAsia="仿宋"/>
                <w:b w:val="0"/>
                <w:kern w:val="2"/>
                <w:sz w:val="21"/>
                <w:szCs w:val="22"/>
                <w:lang w:val="en-US" w:eastAsia="zh-CN"/>
              </w:rPr>
            </w:pPr>
            <w:r>
              <w:rPr>
                <w:rFonts w:eastAsia="仿宋"/>
                <w:b w:val="0"/>
                <w:kern w:val="2"/>
                <w:sz w:val="21"/>
                <w:szCs w:val="28"/>
                <w:lang w:val="en-US" w:eastAsia="zh-CN"/>
              </w:rPr>
              <w:t>Ⅰ级</w:t>
            </w:r>
          </w:p>
        </w:tc>
        <w:tc>
          <w:tcPr>
            <w:tcW w:w="2630" w:type="pct"/>
            <w:noWrap/>
            <w:vAlign w:val="center"/>
          </w:tcPr>
          <w:p>
            <w:pPr>
              <w:rPr>
                <w:rFonts w:eastAsia="仿宋"/>
                <w:szCs w:val="24"/>
              </w:rPr>
            </w:pPr>
            <w:r>
              <w:rPr>
                <w:rStyle w:val="127"/>
                <w:rFonts w:hint="default" w:ascii="Times New Roman" w:hAnsi="Times New Roman" w:eastAsia="仿宋"/>
                <w:color w:val="auto"/>
                <w:sz w:val="21"/>
              </w:rPr>
              <w:t>特别重大环境污染事故，污染超出公司范围，影响公司周边区域，公司自身难以控制，须请求外部救援</w:t>
            </w:r>
          </w:p>
        </w:tc>
        <w:tc>
          <w:tcPr>
            <w:tcW w:w="1963" w:type="pct"/>
            <w:noWrap/>
            <w:vAlign w:val="center"/>
          </w:tcPr>
          <w:p>
            <w:pPr>
              <w:rPr>
                <w:rFonts w:eastAsia="仿宋"/>
                <w:szCs w:val="24"/>
              </w:rPr>
            </w:pPr>
            <w:r>
              <w:rPr>
                <w:rStyle w:val="127"/>
                <w:rFonts w:hint="default" w:ascii="Times New Roman" w:hAnsi="Times New Roman" w:eastAsia="仿宋"/>
                <w:color w:val="auto"/>
                <w:sz w:val="21"/>
              </w:rPr>
              <w:t>罐区储罐发生大量泄漏；生产装置发生液氯、黄磷少量泄漏，盐酸等大量泄漏；尾气吸收塔非正常运转导致废气事故排放，对周围环境造成严重伤害</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06" w:type="pct"/>
            <w:noWrap/>
            <w:vAlign w:val="center"/>
          </w:tcPr>
          <w:p>
            <w:pPr>
              <w:pStyle w:val="95"/>
              <w:ind w:firstLine="0" w:firstLineChars="0"/>
              <w:jc w:val="center"/>
              <w:rPr>
                <w:rFonts w:eastAsia="仿宋"/>
                <w:b w:val="0"/>
                <w:kern w:val="2"/>
                <w:sz w:val="21"/>
                <w:szCs w:val="22"/>
                <w:lang w:val="en-US" w:eastAsia="zh-CN"/>
              </w:rPr>
            </w:pPr>
            <w:r>
              <w:rPr>
                <w:rFonts w:eastAsia="仿宋"/>
                <w:b w:val="0"/>
                <w:kern w:val="2"/>
                <w:sz w:val="21"/>
                <w:szCs w:val="28"/>
                <w:lang w:val="en-US" w:eastAsia="zh-CN"/>
              </w:rPr>
              <w:t>Ⅱ级</w:t>
            </w:r>
          </w:p>
        </w:tc>
        <w:tc>
          <w:tcPr>
            <w:tcW w:w="2630" w:type="pct"/>
            <w:noWrap/>
            <w:vAlign w:val="center"/>
          </w:tcPr>
          <w:p>
            <w:pPr>
              <w:rPr>
                <w:rFonts w:eastAsia="仿宋"/>
                <w:szCs w:val="24"/>
              </w:rPr>
            </w:pPr>
            <w:r>
              <w:rPr>
                <w:rStyle w:val="127"/>
                <w:rFonts w:hint="default" w:ascii="Times New Roman" w:hAnsi="Times New Roman" w:eastAsia="仿宋"/>
                <w:color w:val="auto"/>
                <w:sz w:val="21"/>
              </w:rPr>
              <w:t>重大环境污染事故，污染未超出公司范围，影响公司周边区域，公司自身难以控制，须请求外部救援</w:t>
            </w:r>
          </w:p>
        </w:tc>
        <w:tc>
          <w:tcPr>
            <w:tcW w:w="1963" w:type="pct"/>
            <w:noWrap/>
            <w:vAlign w:val="center"/>
          </w:tcPr>
          <w:p>
            <w:pPr>
              <w:rPr>
                <w:rFonts w:eastAsia="仿宋"/>
                <w:szCs w:val="24"/>
              </w:rPr>
            </w:pPr>
            <w:r>
              <w:rPr>
                <w:rFonts w:eastAsia="仿宋"/>
                <w:szCs w:val="24"/>
              </w:rPr>
              <w:t>罐区储罐管线或连接处发生少量泄漏；生产装置管线或阀门发生少量泄漏，对外环境未造成严重伤害。由单元现场人员控制的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06" w:type="pct"/>
            <w:noWrap/>
            <w:vAlign w:val="center"/>
          </w:tcPr>
          <w:p>
            <w:pPr>
              <w:pStyle w:val="95"/>
              <w:ind w:firstLine="0" w:firstLineChars="0"/>
              <w:jc w:val="center"/>
              <w:rPr>
                <w:rFonts w:eastAsia="仿宋"/>
                <w:b w:val="0"/>
                <w:kern w:val="2"/>
                <w:sz w:val="21"/>
                <w:szCs w:val="22"/>
                <w:lang w:val="en-US" w:eastAsia="zh-CN"/>
              </w:rPr>
            </w:pPr>
            <w:r>
              <w:rPr>
                <w:rFonts w:eastAsia="仿宋"/>
                <w:b w:val="0"/>
                <w:kern w:val="2"/>
                <w:sz w:val="21"/>
                <w:szCs w:val="28"/>
                <w:lang w:val="en-US" w:eastAsia="zh-CN"/>
              </w:rPr>
              <w:t>Ⅲ级</w:t>
            </w:r>
          </w:p>
        </w:tc>
        <w:tc>
          <w:tcPr>
            <w:tcW w:w="2630" w:type="pct"/>
            <w:noWrap/>
            <w:vAlign w:val="center"/>
          </w:tcPr>
          <w:p>
            <w:pPr>
              <w:rPr>
                <w:rFonts w:eastAsia="仿宋"/>
                <w:szCs w:val="24"/>
              </w:rPr>
            </w:pPr>
            <w:r>
              <w:rPr>
                <w:rStyle w:val="127"/>
                <w:rFonts w:hint="default" w:ascii="Times New Roman" w:hAnsi="Times New Roman" w:eastAsia="仿宋"/>
                <w:color w:val="auto"/>
                <w:sz w:val="21"/>
              </w:rPr>
              <w:t>较大环境污染事故，需公司各部门统一调度处置，能在公司控制内消除的污染及相应的安全事故</w:t>
            </w:r>
          </w:p>
        </w:tc>
        <w:tc>
          <w:tcPr>
            <w:tcW w:w="1963" w:type="pct"/>
            <w:noWrap/>
            <w:vAlign w:val="center"/>
          </w:tcPr>
          <w:p>
            <w:pPr>
              <w:rPr>
                <w:rFonts w:eastAsia="仿宋"/>
                <w:color w:val="FF0000"/>
                <w:szCs w:val="24"/>
              </w:rPr>
            </w:pPr>
            <w:r>
              <w:rPr>
                <w:rStyle w:val="127"/>
                <w:rFonts w:hint="default" w:ascii="Times New Roman" w:hAnsi="Times New Roman" w:eastAsia="仿宋"/>
                <w:color w:val="auto"/>
                <w:sz w:val="21"/>
              </w:rPr>
              <w:t>储罐区管线或阀门发生微量泄漏；生产装置阀门发生微量泄漏由当班人员可以自行处理的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06" w:type="pct"/>
            <w:noWrap/>
            <w:vAlign w:val="center"/>
          </w:tcPr>
          <w:p>
            <w:pPr>
              <w:pStyle w:val="95"/>
              <w:ind w:firstLine="0" w:firstLineChars="0"/>
              <w:jc w:val="center"/>
              <w:rPr>
                <w:rFonts w:eastAsia="仿宋"/>
                <w:b w:val="0"/>
                <w:kern w:val="2"/>
                <w:sz w:val="21"/>
                <w:szCs w:val="28"/>
                <w:lang w:val="en-US" w:eastAsia="zh-CN"/>
              </w:rPr>
            </w:pPr>
            <w:bookmarkStart w:id="11" w:name="_Toc472856689"/>
            <w:r>
              <w:rPr>
                <w:rFonts w:eastAsia="仿宋"/>
                <w:b w:val="0"/>
                <w:kern w:val="2"/>
                <w:sz w:val="21"/>
                <w:szCs w:val="28"/>
                <w:lang w:val="en-US" w:eastAsia="zh-CN"/>
              </w:rPr>
              <w:t>Ⅳ级</w:t>
            </w:r>
          </w:p>
        </w:tc>
        <w:tc>
          <w:tcPr>
            <w:tcW w:w="2630" w:type="pct"/>
            <w:noWrap/>
            <w:vAlign w:val="center"/>
          </w:tcPr>
          <w:p>
            <w:pPr>
              <w:rPr>
                <w:rFonts w:eastAsia="仿宋"/>
                <w:szCs w:val="24"/>
              </w:rPr>
            </w:pPr>
            <w:r>
              <w:rPr>
                <w:rStyle w:val="127"/>
                <w:rFonts w:hint="default" w:ascii="Times New Roman" w:hAnsi="Times New Roman" w:eastAsia="仿宋"/>
                <w:color w:val="auto"/>
                <w:sz w:val="21"/>
              </w:rPr>
              <w:t>一般环境污染事故，事故轻微，无扩大征兆，无人员伤亡，生产运行未受影响，并且可在事故车间或部门内迅速消除影响的污染事故</w:t>
            </w:r>
          </w:p>
        </w:tc>
        <w:tc>
          <w:tcPr>
            <w:tcW w:w="1963" w:type="pct"/>
            <w:noWrap/>
            <w:vAlign w:val="center"/>
          </w:tcPr>
          <w:p>
            <w:pPr>
              <w:rPr>
                <w:rFonts w:eastAsia="仿宋"/>
                <w:color w:val="FF0000"/>
                <w:szCs w:val="24"/>
              </w:rPr>
            </w:pPr>
            <w:r>
              <w:rPr>
                <w:rStyle w:val="128"/>
                <w:rFonts w:hint="default" w:ascii="Times New Roman" w:hAnsi="Times New Roman" w:eastAsia="仿宋"/>
                <w:color w:val="auto"/>
                <w:sz w:val="21"/>
              </w:rPr>
              <w:t>装卸过程中发生物料微量泄漏，由该岗位人员可自行处理的</w:t>
            </w:r>
          </w:p>
        </w:tc>
      </w:tr>
      <w:bookmarkEnd w:id="10"/>
    </w:tbl>
    <w:p>
      <w:pPr>
        <w:pStyle w:val="6"/>
        <w:spacing w:before="0" w:beforeAutospacing="0" w:line="520" w:lineRule="exact"/>
        <w:ind w:left="0" w:firstLine="0"/>
      </w:pPr>
      <w:bookmarkStart w:id="12" w:name="_Toc21230"/>
      <w:r>
        <w:t>工作原则</w:t>
      </w:r>
      <w:bookmarkEnd w:id="12"/>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（1）优先原则</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①员工和救援人员的安全优先：应急救援行动应把保障公众健康和生命安全作为首要任务。凡是可能造成人员伤亡的突发公共事件发生前，要及时采取人员避险措施；突发公共事件发生后，要优先开展抢救人员的紧急行动；要加强抢险救援人员的安全防护，最大程度地避免和减少突发公共事件造成的人员伤亡和危害。</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②防止事故扩展优先：在保障公众健康和生命安全后，应急救援行动应以防止事故扩展为优先原则。采取最大救援力量，防止事故扩大。</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③保护环境优先：应急救援过程中应将环境保护放在优先的位置加以考虑，在环境保护和社会利益发生冲突的情况下，应当优先考虑环境保护，满足环境保护的需要，做出有利于环境保护的救援决定。</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（2）以人为本，减少危害原则</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切实履行企业的社会责任，加强对环境事件危险源的监测、监控并实施监督管理，建立环境事件风险防范体系，积极预防、及时控制、消除隐患，提高突发环境事件防范和处理能力，尽可能地避免或减少突发环境污染事件的发生，消除或减轻环境污染事件造成的中长期影响，最大程度地保障公众健康，保护人民群众生命财产安全。</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（3）本预案突发环境事件分级原则</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预案应根据厂区实际情况，结合周边环境及各事件影响大小，划分突发环境事件等级。事件发生时，及时确定突发环境事件级别并及时启动相应的应急方案，充分发挥各应急部门专业优势，使采取的措施与突发环境污染事件造成的危害范围和社会影响相适应，最大限度的减少突发环境事件造成的影响。</w:t>
      </w:r>
    </w:p>
    <w:p>
      <w:pPr>
        <w:pStyle w:val="6"/>
        <w:spacing w:before="0" w:beforeAutospacing="0" w:line="520" w:lineRule="exact"/>
        <w:ind w:left="0" w:firstLine="0"/>
      </w:pPr>
      <w:bookmarkStart w:id="13" w:name="_Toc20686"/>
      <w:r>
        <w:t>应急预案体系</w:t>
      </w:r>
      <w:bookmarkEnd w:id="11"/>
      <w:bookmarkEnd w:id="13"/>
    </w:p>
    <w:p>
      <w:pPr>
        <w:pStyle w:val="8"/>
        <w:spacing w:line="520" w:lineRule="exact"/>
        <w:ind w:left="0" w:firstLine="0"/>
        <w:rPr>
          <w:rFonts w:eastAsia="仿宋_GB2312"/>
          <w:sz w:val="28"/>
          <w:szCs w:val="28"/>
        </w:rPr>
      </w:pPr>
      <w:r>
        <w:rPr>
          <w:rFonts w:hint="eastAsia" w:eastAsia="仿宋_GB2312"/>
          <w:sz w:val="28"/>
          <w:szCs w:val="28"/>
        </w:rPr>
        <w:t>内部应急预案衔接</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本企业应急预案体系包括：</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一级体系：综合应急预案。从总体上阐述处理事故的应急方针、政策，应急组织结构及相关应急职责，应急行动、措施和保障等基本要求和程序，并针对具体的事故类别、危险源和应急保障而制定了计划或方案明确救援程序和具体的应急救援措施。</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二级体系：专项应急预案。针对具体的事故类别、危险源和应急保障而制定的计划或方案，是综合应急预案的组成部分，应按照综合应急预案的程序和要求组织制定。专项应急预案应制定明确的救援程序和具体的应急救援措施。</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三级体系：现场处置方案。针对具体的装置、场所或设施、岗位所制定的应急处置措施，现场处置方案，根据风险评估及危险性控制措施逐一编制，做到事故相关人员应知应会，熟练掌握，并通过应急演练，做到迅速反应、正确处置。</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企业内部各预案的关系组成体系见下图1.5-1所示。</w:t>
      </w:r>
    </w:p>
    <w:p>
      <w:pPr>
        <w:pStyle w:val="95"/>
        <w:ind w:firstLine="0" w:firstLineChars="0"/>
        <w:jc w:val="center"/>
        <w:rPr>
          <w:rFonts w:hAnsi="仿宋" w:eastAsia="仿宋"/>
          <w:sz w:val="28"/>
          <w:szCs w:val="28"/>
        </w:rPr>
      </w:pPr>
      <w:r>
        <w:rPr>
          <w:rFonts w:hAnsi="仿宋" w:eastAsia="仿宋"/>
          <w:sz w:val="28"/>
          <w:szCs w:val="28"/>
        </w:rPr>
        <w:object>
          <v:shape id="_x0000_i1025" o:spt="75" type="#_x0000_t75" style="height:148.5pt;width:341pt;" o:ole="t" filled="f" o:preferrelative="t" stroked="f" coordsize="21600,21600">
            <v:path/>
            <v:fill on="f" focussize="0,0"/>
            <v:stroke on="f" joinstyle="miter"/>
            <v:imagedata r:id="rId8" o:title=""/>
            <o:lock v:ext="edit" aspectratio="f"/>
            <w10:wrap type="none"/>
            <w10:anchorlock/>
          </v:shape>
          <o:OLEObject Type="Embed" ProgID="Visio.Drawing.15" ShapeID="_x0000_i1025" DrawAspect="Content" ObjectID="_1468075725" r:id="rId7">
            <o:LockedField>false</o:LockedField>
          </o:OLEObject>
        </w:object>
      </w:r>
    </w:p>
    <w:p>
      <w:pPr>
        <w:pStyle w:val="32"/>
        <w:spacing w:line="240" w:lineRule="auto"/>
        <w:rPr>
          <w:rFonts w:eastAsia="仿宋"/>
          <w:b w:val="0"/>
          <w:bCs w:val="0"/>
          <w:snapToGrid/>
          <w:kern w:val="2"/>
          <w:sz w:val="28"/>
          <w:szCs w:val="28"/>
        </w:rPr>
      </w:pPr>
      <w:r>
        <w:rPr>
          <w:rFonts w:hint="eastAsia" w:eastAsia="仿宋"/>
          <w:b w:val="0"/>
          <w:bCs w:val="0"/>
          <w:snapToGrid/>
          <w:kern w:val="2"/>
          <w:sz w:val="28"/>
          <w:szCs w:val="28"/>
        </w:rPr>
        <w:t>图1.5-1  企业内部应急预案衔接关系图</w:t>
      </w:r>
    </w:p>
    <w:p>
      <w:pPr>
        <w:pStyle w:val="8"/>
        <w:spacing w:line="520" w:lineRule="exact"/>
        <w:ind w:left="0" w:firstLine="0"/>
        <w:rPr>
          <w:rFonts w:eastAsia="仿宋_GB2312"/>
          <w:sz w:val="28"/>
          <w:szCs w:val="28"/>
        </w:rPr>
      </w:pPr>
      <w:r>
        <w:rPr>
          <w:rFonts w:hint="eastAsia" w:eastAsia="仿宋_GB2312"/>
          <w:sz w:val="28"/>
          <w:szCs w:val="28"/>
        </w:rPr>
        <w:t>外部其他应急预案衔接</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外部应急预案衔接关系见图1.5-2。</w:t>
      </w:r>
    </w:p>
    <w:p>
      <w:pPr>
        <w:pStyle w:val="95"/>
        <w:ind w:firstLine="0" w:firstLineChars="0"/>
        <w:jc w:val="center"/>
        <w:rPr>
          <w:rFonts w:hAnsi="仿宋" w:eastAsia="仿宋"/>
          <w:sz w:val="28"/>
          <w:szCs w:val="28"/>
        </w:rPr>
      </w:pPr>
      <w:r>
        <w:rPr>
          <w:rFonts w:hAnsi="仿宋" w:eastAsia="仿宋"/>
          <w:sz w:val="28"/>
          <w:szCs w:val="28"/>
        </w:rPr>
        <w:object>
          <v:shape id="_x0000_i1026" o:spt="75" type="#_x0000_t75" style="height:304pt;width:315.5pt;" o:ole="t" filled="f" o:preferrelative="t" stroked="f" coordsize="21600,21600">
            <v:path/>
            <v:fill on="f" focussize="0,0"/>
            <v:stroke on="f" joinstyle="miter"/>
            <v:imagedata r:id="rId10" o:title=""/>
            <o:lock v:ext="edit" aspectratio="f"/>
            <w10:wrap type="none"/>
            <w10:anchorlock/>
          </v:shape>
          <o:OLEObject Type="Embed" ProgID="Visio.Drawing.15" ShapeID="_x0000_i1026" DrawAspect="Content" ObjectID="_1468075726" r:id="rId9">
            <o:LockedField>false</o:LockedField>
          </o:OLEObject>
        </w:object>
      </w:r>
    </w:p>
    <w:p>
      <w:pPr>
        <w:pStyle w:val="95"/>
        <w:ind w:firstLine="0" w:firstLineChars="0"/>
        <w:jc w:val="center"/>
        <w:rPr>
          <w:rFonts w:hAnsi="仿宋" w:eastAsia="仿宋"/>
          <w:b w:val="0"/>
          <w:bCs w:val="0"/>
          <w:sz w:val="28"/>
          <w:szCs w:val="28"/>
        </w:rPr>
      </w:pPr>
      <w:r>
        <w:rPr>
          <w:rFonts w:hint="eastAsia" w:hAnsi="仿宋" w:eastAsia="仿宋"/>
          <w:b w:val="0"/>
          <w:bCs w:val="0"/>
          <w:sz w:val="28"/>
          <w:szCs w:val="28"/>
        </w:rPr>
        <w:t>图1.5-2  外部应急预案衔接关系图</w:t>
      </w:r>
    </w:p>
    <w:p>
      <w:pPr>
        <w:pStyle w:val="95"/>
        <w:spacing w:line="520" w:lineRule="exact"/>
        <w:ind w:firstLine="562"/>
        <w:jc w:val="both"/>
        <w:rPr>
          <w:rFonts w:eastAsia="仿宋"/>
          <w:b w:val="0"/>
          <w:bCs w:val="0"/>
          <w:sz w:val="28"/>
          <w:szCs w:val="28"/>
        </w:rPr>
      </w:pPr>
      <w:r>
        <w:rPr>
          <w:rFonts w:hAnsi="仿宋" w:eastAsia="仿宋"/>
          <w:b w:val="0"/>
          <w:bCs w:val="0"/>
          <w:sz w:val="28"/>
          <w:szCs w:val="28"/>
        </w:rPr>
        <w:t>公司突发环境事件应急预案主要侧重于对环境事件的处理，对</w:t>
      </w:r>
      <w:r>
        <w:rPr>
          <w:rFonts w:hint="eastAsia" w:hAnsi="仿宋" w:eastAsia="仿宋"/>
          <w:b w:val="0"/>
          <w:bCs w:val="0"/>
          <w:sz w:val="28"/>
          <w:szCs w:val="28"/>
        </w:rPr>
        <w:t>火灾、</w:t>
      </w:r>
      <w:r>
        <w:rPr>
          <w:rFonts w:hAnsi="仿宋" w:eastAsia="仿宋"/>
          <w:b w:val="0"/>
          <w:bCs w:val="0"/>
          <w:sz w:val="28"/>
          <w:szCs w:val="28"/>
        </w:rPr>
        <w:t>泄漏及其伴生影响等产生的对厂外环境影响的响应、救援和修复等应急管理工作。</w:t>
      </w:r>
    </w:p>
    <w:p>
      <w:pPr>
        <w:pStyle w:val="95"/>
        <w:spacing w:line="520" w:lineRule="exact"/>
        <w:ind w:firstLine="562"/>
        <w:jc w:val="both"/>
        <w:rPr>
          <w:b w:val="0"/>
          <w:bCs w:val="0"/>
          <w:sz w:val="28"/>
          <w:szCs w:val="28"/>
        </w:rPr>
      </w:pPr>
      <w:r>
        <w:rPr>
          <w:rFonts w:hAnsi="仿宋" w:eastAsia="仿宋"/>
          <w:b w:val="0"/>
          <w:bCs w:val="0"/>
          <w:sz w:val="28"/>
          <w:szCs w:val="28"/>
        </w:rPr>
        <w:t>公司突发环境事件应急预案与</w:t>
      </w:r>
      <w:r>
        <w:rPr>
          <w:rFonts w:hint="eastAsia" w:hAnsi="仿宋" w:eastAsia="仿宋"/>
          <w:b w:val="0"/>
          <w:bCs w:val="0"/>
          <w:sz w:val="28"/>
          <w:szCs w:val="28"/>
          <w:lang w:eastAsia="zh-CN"/>
        </w:rPr>
        <w:t>远安县</w:t>
      </w:r>
      <w:r>
        <w:rPr>
          <w:rFonts w:hAnsi="仿宋" w:eastAsia="仿宋"/>
          <w:b w:val="0"/>
          <w:bCs w:val="0"/>
          <w:sz w:val="28"/>
          <w:szCs w:val="28"/>
        </w:rPr>
        <w:t>突发环境事件应急预案相衔接，在发生突发环境事件，根据突发环境事件级别分级启用公司应急预案，当发生</w:t>
      </w:r>
      <w:r>
        <w:rPr>
          <w:rFonts w:eastAsia="仿宋"/>
          <w:b w:val="0"/>
          <w:bCs w:val="0"/>
          <w:sz w:val="28"/>
          <w:szCs w:val="28"/>
        </w:rPr>
        <w:t>Ⅰ</w:t>
      </w:r>
      <w:r>
        <w:rPr>
          <w:rFonts w:hAnsi="仿宋" w:eastAsia="仿宋"/>
          <w:b w:val="0"/>
          <w:bCs w:val="0"/>
          <w:sz w:val="28"/>
          <w:szCs w:val="28"/>
        </w:rPr>
        <w:t>级</w:t>
      </w:r>
      <w:r>
        <w:rPr>
          <w:rFonts w:hint="eastAsia" w:hAnsi="仿宋" w:eastAsia="仿宋"/>
          <w:b w:val="0"/>
          <w:bCs w:val="0"/>
          <w:sz w:val="28"/>
          <w:szCs w:val="28"/>
        </w:rPr>
        <w:t>及</w:t>
      </w:r>
      <w:r>
        <w:rPr>
          <w:rFonts w:hAnsi="仿宋" w:eastAsia="仿宋"/>
          <w:b w:val="0"/>
          <w:bCs w:val="0"/>
          <w:sz w:val="28"/>
          <w:szCs w:val="28"/>
        </w:rPr>
        <w:t>以上突发环境事件时，第一时间上报宜昌市生态环境局</w:t>
      </w:r>
      <w:r>
        <w:rPr>
          <w:rFonts w:hint="eastAsia" w:hAnsi="仿宋" w:eastAsia="仿宋"/>
          <w:b w:val="0"/>
          <w:bCs w:val="0"/>
          <w:sz w:val="28"/>
          <w:szCs w:val="28"/>
          <w:lang w:eastAsia="zh-CN"/>
        </w:rPr>
        <w:t>远安县</w:t>
      </w:r>
      <w:r>
        <w:rPr>
          <w:rFonts w:hAnsi="仿宋" w:eastAsia="仿宋"/>
          <w:b w:val="0"/>
          <w:bCs w:val="0"/>
          <w:sz w:val="28"/>
          <w:szCs w:val="28"/>
        </w:rPr>
        <w:t>分局，请求外部救援，并对污染物质进行监测和现场处置，待市领导和专家到来后，汇报现场情况并积极给予配合。</w:t>
      </w:r>
      <w:bookmarkStart w:id="14" w:name="_Toc430788063"/>
    </w:p>
    <w:p>
      <w:pPr>
        <w:pStyle w:val="95"/>
        <w:ind w:firstLine="560"/>
        <w:rPr>
          <w:b w:val="0"/>
          <w:bCs w:val="0"/>
          <w:sz w:val="28"/>
          <w:szCs w:val="28"/>
        </w:rPr>
        <w:sectPr>
          <w:footerReference r:id="rId5" w:type="default"/>
          <w:pgSz w:w="11906" w:h="16838"/>
          <w:pgMar w:top="1440" w:right="1800" w:bottom="1440" w:left="1800" w:header="1077" w:footer="1191" w:gutter="0"/>
          <w:pgBorders>
            <w:top w:val="none" w:sz="0" w:space="0"/>
            <w:left w:val="none" w:sz="0" w:space="0"/>
            <w:bottom w:val="none" w:sz="0" w:space="0"/>
            <w:right w:val="none" w:sz="0" w:space="0"/>
          </w:pgBorders>
          <w:pgNumType w:start="1"/>
          <w:cols w:space="720" w:num="1"/>
          <w:docGrid w:type="lines" w:linePitch="312" w:charSpace="0"/>
        </w:sectPr>
      </w:pPr>
      <w:bookmarkStart w:id="15" w:name="_Toc472856690"/>
    </w:p>
    <w:p>
      <w:pPr>
        <w:pStyle w:val="5"/>
        <w:spacing w:beforeLines="0" w:afterLines="0" w:line="520" w:lineRule="exact"/>
        <w:ind w:left="0" w:firstLine="0"/>
      </w:pPr>
      <w:bookmarkStart w:id="16" w:name="_Toc23524"/>
      <w:r>
        <w:t>企业概况</w:t>
      </w:r>
      <w:bookmarkEnd w:id="14"/>
      <w:bookmarkEnd w:id="15"/>
      <w:bookmarkEnd w:id="16"/>
    </w:p>
    <w:p>
      <w:pPr>
        <w:pStyle w:val="6"/>
        <w:spacing w:before="0" w:beforeAutospacing="0" w:line="520" w:lineRule="exact"/>
        <w:ind w:left="0" w:firstLine="0"/>
      </w:pPr>
      <w:bookmarkStart w:id="17" w:name="_Toc9840"/>
      <w:bookmarkStart w:id="18" w:name="_Toc503886223"/>
      <w:r>
        <w:t>企业基本信息</w:t>
      </w:r>
      <w:bookmarkEnd w:id="17"/>
      <w:bookmarkEnd w:id="18"/>
    </w:p>
    <w:p>
      <w:pPr>
        <w:pStyle w:val="95"/>
        <w:spacing w:line="520" w:lineRule="exact"/>
        <w:ind w:firstLine="560"/>
        <w:jc w:val="both"/>
        <w:rPr>
          <w:b w:val="0"/>
          <w:bCs/>
          <w:sz w:val="28"/>
          <w:szCs w:val="28"/>
        </w:rPr>
      </w:pPr>
      <w:r>
        <w:rPr>
          <w:rFonts w:hint="eastAsia"/>
          <w:b w:val="0"/>
          <w:bCs/>
          <w:sz w:val="28"/>
          <w:szCs w:val="28"/>
        </w:rPr>
        <w:t>本</w:t>
      </w:r>
      <w:r>
        <w:rPr>
          <w:b w:val="0"/>
          <w:bCs/>
          <w:sz w:val="28"/>
          <w:szCs w:val="28"/>
        </w:rPr>
        <w:t>公司位于</w:t>
      </w:r>
      <w:r>
        <w:rPr>
          <w:rFonts w:hint="eastAsia"/>
          <w:b w:val="0"/>
          <w:bCs/>
          <w:sz w:val="28"/>
          <w:szCs w:val="28"/>
          <w:lang w:eastAsia="zh-CN"/>
        </w:rPr>
        <w:t>宜昌市</w:t>
      </w:r>
      <w:r>
        <w:rPr>
          <w:rFonts w:hint="eastAsia"/>
          <w:b w:val="0"/>
          <w:bCs/>
          <w:sz w:val="28"/>
          <w:szCs w:val="28"/>
        </w:rPr>
        <w:t>远安航天动力材料产业园（江北片区），江北公园以西、西部化工厂区以南</w:t>
      </w:r>
      <w:r>
        <w:rPr>
          <w:b w:val="0"/>
          <w:bCs/>
          <w:sz w:val="28"/>
          <w:szCs w:val="28"/>
        </w:rPr>
        <w:t>。</w:t>
      </w:r>
      <w:r>
        <w:rPr>
          <w:rFonts w:hint="eastAsia"/>
          <w:b w:val="0"/>
          <w:bCs/>
          <w:sz w:val="28"/>
          <w:szCs w:val="28"/>
        </w:rPr>
        <w:t>拟建厂区东邻江北公园，西侧与西部化工厂区隔路相对，南侧和北侧为林地和荒地。</w:t>
      </w:r>
    </w:p>
    <w:p>
      <w:pPr>
        <w:pStyle w:val="95"/>
        <w:spacing w:line="520" w:lineRule="exact"/>
        <w:ind w:firstLine="560"/>
        <w:jc w:val="both"/>
        <w:rPr>
          <w:b w:val="0"/>
          <w:bCs/>
          <w:sz w:val="28"/>
          <w:szCs w:val="28"/>
        </w:rPr>
      </w:pPr>
      <w:r>
        <w:rPr>
          <w:b w:val="0"/>
          <w:bCs/>
          <w:sz w:val="28"/>
          <w:szCs w:val="28"/>
          <w:lang w:eastAsia="zh-CN"/>
        </w:rPr>
        <w:t>本公司</w:t>
      </w:r>
      <w:r>
        <w:rPr>
          <w:b w:val="0"/>
          <w:bCs/>
          <w:sz w:val="28"/>
          <w:szCs w:val="28"/>
        </w:rPr>
        <w:t>厂区由</w:t>
      </w:r>
      <w:r>
        <w:rPr>
          <w:rFonts w:hint="eastAsia"/>
          <w:b w:val="0"/>
          <w:bCs/>
          <w:sz w:val="28"/>
          <w:szCs w:val="28"/>
        </w:rPr>
        <w:t>办公区、生产装置区、辅助生产区、储罐和仓储区、三废处理区等五大功能区</w:t>
      </w:r>
      <w:r>
        <w:rPr>
          <w:rFonts w:hint="eastAsia"/>
          <w:b w:val="0"/>
          <w:bCs/>
          <w:sz w:val="28"/>
          <w:szCs w:val="28"/>
          <w:lang w:eastAsia="zh-CN"/>
        </w:rPr>
        <w:t>组成</w:t>
      </w:r>
      <w:r>
        <w:rPr>
          <w:rFonts w:hint="eastAsia"/>
          <w:b w:val="0"/>
          <w:bCs/>
          <w:sz w:val="28"/>
          <w:szCs w:val="28"/>
        </w:rPr>
        <w:t>。其中，生产装置区主要包括甲类车间、</w:t>
      </w:r>
      <w:r>
        <w:rPr>
          <w:rFonts w:hint="eastAsia"/>
          <w:b w:val="0"/>
          <w:bCs/>
          <w:sz w:val="28"/>
          <w:szCs w:val="28"/>
          <w:lang w:eastAsia="zh-CN"/>
        </w:rPr>
        <w:t>液氯汽化厂房</w:t>
      </w:r>
      <w:r>
        <w:rPr>
          <w:rFonts w:hint="eastAsia"/>
          <w:b w:val="0"/>
          <w:bCs/>
          <w:sz w:val="28"/>
          <w:szCs w:val="28"/>
        </w:rPr>
        <w:t>、</w:t>
      </w:r>
      <w:r>
        <w:rPr>
          <w:rFonts w:hint="eastAsia"/>
          <w:b w:val="0"/>
          <w:bCs/>
          <w:sz w:val="28"/>
          <w:szCs w:val="28"/>
          <w:lang w:eastAsia="zh-CN"/>
        </w:rPr>
        <w:t>丙类仓库</w:t>
      </w:r>
      <w:r>
        <w:rPr>
          <w:rFonts w:hint="eastAsia"/>
          <w:b w:val="0"/>
          <w:bCs/>
          <w:sz w:val="28"/>
          <w:szCs w:val="28"/>
        </w:rPr>
        <w:t>，办公区域与生产厂房隔开，办公区域设置在厂区</w:t>
      </w:r>
      <w:r>
        <w:rPr>
          <w:rFonts w:hint="eastAsia"/>
          <w:b w:val="0"/>
          <w:bCs/>
          <w:sz w:val="28"/>
          <w:szCs w:val="28"/>
          <w:lang w:eastAsia="zh-CN"/>
        </w:rPr>
        <w:t>北</w:t>
      </w:r>
      <w:r>
        <w:rPr>
          <w:rFonts w:hint="eastAsia"/>
          <w:b w:val="0"/>
          <w:bCs/>
          <w:sz w:val="28"/>
          <w:szCs w:val="28"/>
        </w:rPr>
        <w:t>部，</w:t>
      </w:r>
      <w:r>
        <w:rPr>
          <w:rFonts w:hint="eastAsia"/>
          <w:b w:val="0"/>
          <w:bCs/>
          <w:sz w:val="28"/>
          <w:szCs w:val="28"/>
          <w:lang w:eastAsia="zh-CN"/>
        </w:rPr>
        <w:t>储罐和</w:t>
      </w:r>
      <w:r>
        <w:rPr>
          <w:rFonts w:hint="eastAsia"/>
          <w:b w:val="0"/>
          <w:bCs/>
          <w:sz w:val="28"/>
          <w:szCs w:val="28"/>
        </w:rPr>
        <w:t>仓储区域设置在厂区</w:t>
      </w:r>
      <w:r>
        <w:rPr>
          <w:rFonts w:hint="eastAsia"/>
          <w:b w:val="0"/>
          <w:bCs/>
          <w:sz w:val="28"/>
          <w:szCs w:val="28"/>
          <w:lang w:eastAsia="zh-CN"/>
        </w:rPr>
        <w:t>西北</w:t>
      </w:r>
      <w:r>
        <w:rPr>
          <w:rFonts w:hint="eastAsia"/>
          <w:b w:val="0"/>
          <w:bCs/>
          <w:sz w:val="28"/>
          <w:szCs w:val="28"/>
        </w:rPr>
        <w:t>侧，辅助生产设施区包括</w:t>
      </w:r>
      <w:r>
        <w:rPr>
          <w:rFonts w:hint="eastAsia"/>
          <w:b w:val="0"/>
          <w:bCs/>
          <w:sz w:val="28"/>
          <w:szCs w:val="28"/>
          <w:lang w:eastAsia="zh-CN"/>
        </w:rPr>
        <w:t>锅炉房、</w:t>
      </w:r>
      <w:r>
        <w:rPr>
          <w:rFonts w:hint="eastAsia"/>
          <w:b w:val="0"/>
          <w:bCs/>
          <w:sz w:val="28"/>
          <w:szCs w:val="28"/>
        </w:rPr>
        <w:t>事故应急池及一体化污水处理设施、变配电室及空压制氮房等。建设规模为：</w:t>
      </w:r>
      <w:r>
        <w:rPr>
          <w:b w:val="0"/>
          <w:bCs/>
          <w:sz w:val="28"/>
          <w:szCs w:val="28"/>
        </w:rPr>
        <w:t>年产20000吨电子级五氯化磷，副产工业盐酸</w:t>
      </w:r>
      <w:r>
        <w:rPr>
          <w:b w:val="0"/>
          <w:bCs/>
          <w:sz w:val="28"/>
          <w:szCs w:val="28"/>
          <w:lang w:val="en-US" w:eastAsia="zh-CN"/>
        </w:rPr>
        <w:t>1581</w:t>
      </w:r>
      <w:r>
        <w:rPr>
          <w:b w:val="0"/>
          <w:bCs/>
          <w:sz w:val="28"/>
          <w:szCs w:val="28"/>
        </w:rPr>
        <w:t>吨、磷酸钙</w:t>
      </w:r>
      <w:r>
        <w:rPr>
          <w:b w:val="0"/>
          <w:bCs/>
          <w:sz w:val="28"/>
          <w:szCs w:val="28"/>
          <w:lang w:val="en-US" w:eastAsia="zh-CN"/>
        </w:rPr>
        <w:t>1079.5</w:t>
      </w:r>
      <w:r>
        <w:rPr>
          <w:b w:val="0"/>
          <w:bCs/>
          <w:sz w:val="28"/>
          <w:szCs w:val="28"/>
        </w:rPr>
        <w:t>吨</w:t>
      </w:r>
      <w:r>
        <w:rPr>
          <w:rFonts w:hint="eastAsia"/>
          <w:b w:val="0"/>
          <w:bCs/>
          <w:sz w:val="28"/>
          <w:szCs w:val="28"/>
        </w:rPr>
        <w:t>。</w:t>
      </w:r>
    </w:p>
    <w:p>
      <w:pPr>
        <w:pStyle w:val="8"/>
        <w:spacing w:line="520" w:lineRule="exact"/>
        <w:ind w:left="0" w:firstLine="0"/>
        <w:rPr>
          <w:rFonts w:eastAsia="仿宋_GB2312"/>
          <w:sz w:val="28"/>
          <w:szCs w:val="28"/>
        </w:rPr>
      </w:pPr>
      <w:r>
        <w:rPr>
          <w:rFonts w:eastAsia="仿宋_GB2312"/>
          <w:sz w:val="28"/>
          <w:szCs w:val="28"/>
        </w:rPr>
        <w:t>企业情况简介</w:t>
      </w:r>
    </w:p>
    <w:p>
      <w:pPr>
        <w:pStyle w:val="95"/>
        <w:spacing w:line="520" w:lineRule="exact"/>
        <w:ind w:firstLine="560"/>
        <w:rPr>
          <w:sz w:val="28"/>
          <w:szCs w:val="28"/>
        </w:rPr>
      </w:pPr>
      <w:r>
        <w:rPr>
          <w:sz w:val="28"/>
          <w:szCs w:val="28"/>
        </w:rPr>
        <w:t>公司基本情况详见表2.1-</w:t>
      </w:r>
      <w:r>
        <w:rPr>
          <w:rFonts w:hint="eastAsia"/>
          <w:sz w:val="28"/>
          <w:szCs w:val="28"/>
        </w:rPr>
        <w:t>1</w:t>
      </w:r>
      <w:r>
        <w:rPr>
          <w:sz w:val="28"/>
          <w:szCs w:val="28"/>
        </w:rPr>
        <w:t>。</w:t>
      </w:r>
    </w:p>
    <w:p>
      <w:pPr>
        <w:pStyle w:val="32"/>
        <w:spacing w:line="240" w:lineRule="auto"/>
        <w:rPr>
          <w:rFonts w:eastAsia="仿宋"/>
          <w:b w:val="0"/>
          <w:bCs w:val="0"/>
          <w:snapToGrid/>
          <w:kern w:val="2"/>
          <w:sz w:val="28"/>
          <w:szCs w:val="28"/>
        </w:rPr>
      </w:pPr>
      <w:r>
        <w:rPr>
          <w:rFonts w:hint="eastAsia" w:eastAsia="仿宋"/>
          <w:b w:val="0"/>
          <w:bCs w:val="0"/>
          <w:snapToGrid/>
          <w:kern w:val="2"/>
          <w:sz w:val="28"/>
          <w:szCs w:val="28"/>
        </w:rPr>
        <w:t>表2.1-1  公司基本情况一览表</w:t>
      </w:r>
    </w:p>
    <w:tbl>
      <w:tblPr>
        <w:tblStyle w:val="35"/>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77"/>
        <w:gridCol w:w="2022"/>
        <w:gridCol w:w="592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389" w:type="pct"/>
            <w:noWrap/>
            <w:vAlign w:val="center"/>
          </w:tcPr>
          <w:p>
            <w:pPr>
              <w:pStyle w:val="95"/>
              <w:ind w:firstLine="0" w:firstLineChars="0"/>
              <w:jc w:val="center"/>
              <w:rPr>
                <w:b w:val="0"/>
                <w:kern w:val="2"/>
                <w:sz w:val="21"/>
                <w:szCs w:val="21"/>
                <w:lang w:val="en-US" w:eastAsia="zh-CN"/>
              </w:rPr>
            </w:pPr>
            <w:r>
              <w:rPr>
                <w:b w:val="0"/>
                <w:kern w:val="2"/>
                <w:sz w:val="21"/>
                <w:szCs w:val="21"/>
                <w:lang w:val="en-US" w:eastAsia="zh-CN"/>
              </w:rPr>
              <w:t>序号</w:t>
            </w:r>
          </w:p>
        </w:tc>
        <w:tc>
          <w:tcPr>
            <w:tcW w:w="1379" w:type="pct"/>
            <w:noWrap/>
            <w:vAlign w:val="center"/>
          </w:tcPr>
          <w:p>
            <w:pPr>
              <w:pStyle w:val="95"/>
              <w:ind w:firstLine="0" w:firstLineChars="0"/>
              <w:jc w:val="center"/>
              <w:rPr>
                <w:b w:val="0"/>
                <w:kern w:val="2"/>
                <w:sz w:val="21"/>
                <w:szCs w:val="21"/>
                <w:lang w:val="en-US" w:eastAsia="zh-CN"/>
              </w:rPr>
            </w:pPr>
            <w:r>
              <w:rPr>
                <w:b w:val="0"/>
                <w:kern w:val="2"/>
                <w:sz w:val="21"/>
                <w:szCs w:val="21"/>
                <w:lang w:val="en-US" w:eastAsia="zh-CN"/>
              </w:rPr>
              <w:t>内容</w:t>
            </w:r>
          </w:p>
        </w:tc>
        <w:tc>
          <w:tcPr>
            <w:tcW w:w="3231" w:type="pct"/>
            <w:noWrap/>
            <w:vAlign w:val="center"/>
          </w:tcPr>
          <w:p>
            <w:pPr>
              <w:pStyle w:val="95"/>
              <w:ind w:firstLine="0" w:firstLineChars="0"/>
              <w:jc w:val="center"/>
              <w:rPr>
                <w:b w:val="0"/>
                <w:kern w:val="2"/>
                <w:sz w:val="21"/>
                <w:szCs w:val="21"/>
                <w:lang w:val="en-US" w:eastAsia="zh-CN"/>
              </w:rPr>
            </w:pPr>
            <w:r>
              <w:rPr>
                <w:b w:val="0"/>
                <w:kern w:val="2"/>
                <w:sz w:val="21"/>
                <w:szCs w:val="21"/>
                <w:lang w:val="en-US" w:eastAsia="zh-CN"/>
              </w:rPr>
              <w:t>企业基本信息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8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1</w:t>
            </w:r>
          </w:p>
        </w:tc>
        <w:tc>
          <w:tcPr>
            <w:tcW w:w="137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单位名称</w:t>
            </w:r>
          </w:p>
        </w:tc>
        <w:tc>
          <w:tcPr>
            <w:tcW w:w="3231" w:type="pct"/>
            <w:noWrap/>
            <w:vAlign w:val="center"/>
          </w:tcPr>
          <w:p>
            <w:pPr>
              <w:pStyle w:val="95"/>
              <w:ind w:firstLine="0" w:firstLineChars="0"/>
              <w:jc w:val="center"/>
              <w:rPr>
                <w:b w:val="0"/>
                <w:bCs w:val="0"/>
                <w:kern w:val="2"/>
                <w:sz w:val="21"/>
                <w:szCs w:val="21"/>
                <w:lang w:val="en-US" w:eastAsia="zh-CN"/>
              </w:rPr>
            </w:pPr>
            <w:r>
              <w:rPr>
                <w:rFonts w:hint="eastAsia"/>
                <w:b w:val="0"/>
                <w:bCs w:val="0"/>
                <w:kern w:val="2"/>
                <w:sz w:val="21"/>
                <w:szCs w:val="21"/>
                <w:lang w:val="en-US" w:eastAsia="zh-CN"/>
              </w:rPr>
              <w:t>湖北航欧新材料科技有限公司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8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2</w:t>
            </w:r>
          </w:p>
        </w:tc>
        <w:tc>
          <w:tcPr>
            <w:tcW w:w="137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统一社会信用代码</w:t>
            </w:r>
          </w:p>
        </w:tc>
        <w:tc>
          <w:tcPr>
            <w:tcW w:w="3231" w:type="pct"/>
            <w:noWrap/>
            <w:vAlign w:val="center"/>
          </w:tcPr>
          <w:p>
            <w:pPr>
              <w:pStyle w:val="115"/>
              <w:jc w:val="center"/>
              <w:rPr>
                <w:rFonts w:eastAsia="仿宋_GB2312"/>
              </w:rPr>
            </w:pPr>
            <w:r>
              <w:rPr>
                <w:rFonts w:hint="eastAsia" w:eastAsia="仿宋_GB2312"/>
              </w:rPr>
              <w:t>91420525MA49MXB451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8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3</w:t>
            </w:r>
          </w:p>
        </w:tc>
        <w:tc>
          <w:tcPr>
            <w:tcW w:w="137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单位地址</w:t>
            </w:r>
          </w:p>
        </w:tc>
        <w:tc>
          <w:tcPr>
            <w:tcW w:w="3231" w:type="pct"/>
            <w:noWrap/>
            <w:vAlign w:val="center"/>
          </w:tcPr>
          <w:p>
            <w:pPr>
              <w:pStyle w:val="95"/>
              <w:ind w:firstLine="0" w:firstLineChars="0"/>
              <w:jc w:val="center"/>
              <w:rPr>
                <w:b w:val="0"/>
                <w:bCs w:val="0"/>
                <w:kern w:val="2"/>
                <w:sz w:val="21"/>
                <w:szCs w:val="21"/>
                <w:lang w:val="en-US" w:eastAsia="zh-CN"/>
              </w:rPr>
            </w:pPr>
            <w:r>
              <w:rPr>
                <w:rFonts w:hint="eastAsia"/>
                <w:b w:val="0"/>
                <w:bCs w:val="0"/>
                <w:kern w:val="2"/>
                <w:sz w:val="21"/>
                <w:szCs w:val="21"/>
                <w:lang w:val="en-US" w:eastAsia="zh-CN"/>
              </w:rPr>
              <w:t>远安航天动力材料产业园（江北片区）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8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4</w:t>
            </w:r>
          </w:p>
        </w:tc>
        <w:tc>
          <w:tcPr>
            <w:tcW w:w="137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法人代表</w:t>
            </w:r>
          </w:p>
        </w:tc>
        <w:tc>
          <w:tcPr>
            <w:tcW w:w="3231" w:type="pct"/>
            <w:noWrap/>
            <w:vAlign w:val="center"/>
          </w:tcPr>
          <w:p>
            <w:pPr>
              <w:pStyle w:val="95"/>
              <w:ind w:firstLine="0" w:firstLineChars="0"/>
              <w:jc w:val="center"/>
              <w:rPr>
                <w:b w:val="0"/>
                <w:bCs w:val="0"/>
                <w:kern w:val="2"/>
                <w:sz w:val="21"/>
                <w:szCs w:val="21"/>
                <w:lang w:val="en-US" w:eastAsia="zh-CN"/>
              </w:rPr>
            </w:pPr>
            <w:r>
              <w:rPr>
                <w:rFonts w:hint="eastAsia"/>
                <w:b w:val="0"/>
                <w:bCs w:val="0"/>
                <w:kern w:val="2"/>
                <w:sz w:val="21"/>
                <w:szCs w:val="21"/>
                <w:lang w:val="en-US" w:eastAsia="zh-CN"/>
              </w:rPr>
              <w:t>况庆雷</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8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5</w:t>
            </w:r>
          </w:p>
        </w:tc>
        <w:tc>
          <w:tcPr>
            <w:tcW w:w="137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中心经度</w:t>
            </w:r>
          </w:p>
        </w:tc>
        <w:tc>
          <w:tcPr>
            <w:tcW w:w="3231"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东经</w:t>
            </w:r>
            <w:r>
              <w:rPr>
                <w:rFonts w:hint="eastAsia"/>
                <w:b w:val="0"/>
                <w:bCs w:val="0"/>
                <w:kern w:val="2"/>
                <w:sz w:val="21"/>
                <w:szCs w:val="21"/>
                <w:lang w:val="en-US" w:eastAsia="zh-CN"/>
              </w:rPr>
              <w:t>111.586730°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8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6</w:t>
            </w:r>
          </w:p>
        </w:tc>
        <w:tc>
          <w:tcPr>
            <w:tcW w:w="137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中心纬度</w:t>
            </w:r>
          </w:p>
        </w:tc>
        <w:tc>
          <w:tcPr>
            <w:tcW w:w="3231"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北纬</w:t>
            </w:r>
            <w:r>
              <w:rPr>
                <w:rFonts w:hint="eastAsia"/>
                <w:b w:val="0"/>
                <w:bCs w:val="0"/>
                <w:kern w:val="2"/>
                <w:sz w:val="21"/>
                <w:szCs w:val="21"/>
                <w:lang w:val="en-US" w:eastAsia="zh-CN"/>
              </w:rPr>
              <w:t>31.129809°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8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7</w:t>
            </w:r>
          </w:p>
        </w:tc>
        <w:tc>
          <w:tcPr>
            <w:tcW w:w="137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所属行业类别</w:t>
            </w:r>
          </w:p>
        </w:tc>
        <w:tc>
          <w:tcPr>
            <w:tcW w:w="3231" w:type="pct"/>
            <w:noWrap/>
            <w:vAlign w:val="center"/>
          </w:tcPr>
          <w:p>
            <w:pPr>
              <w:pStyle w:val="95"/>
              <w:ind w:firstLine="0" w:firstLineChars="0"/>
              <w:jc w:val="center"/>
              <w:rPr>
                <w:b w:val="0"/>
                <w:bCs w:val="0"/>
                <w:kern w:val="2"/>
                <w:sz w:val="21"/>
                <w:szCs w:val="21"/>
                <w:lang w:val="en-US" w:eastAsia="zh-CN"/>
              </w:rPr>
            </w:pPr>
            <w:r>
              <w:rPr>
                <w:rFonts w:hint="eastAsia"/>
                <w:b w:val="0"/>
                <w:bCs w:val="0"/>
                <w:kern w:val="2"/>
                <w:sz w:val="21"/>
                <w:szCs w:val="21"/>
                <w:lang w:val="en-US" w:eastAsia="zh-CN"/>
              </w:rPr>
              <w:t>C261化学原料和化学制品制造业</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8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8</w:t>
            </w:r>
          </w:p>
        </w:tc>
        <w:tc>
          <w:tcPr>
            <w:tcW w:w="137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主要联系人及联系方式</w:t>
            </w:r>
          </w:p>
        </w:tc>
        <w:tc>
          <w:tcPr>
            <w:tcW w:w="3231" w:type="pct"/>
            <w:noWrap/>
            <w:vAlign w:val="center"/>
          </w:tcPr>
          <w:p>
            <w:pPr>
              <w:pStyle w:val="95"/>
              <w:ind w:firstLine="0" w:firstLineChars="0"/>
              <w:jc w:val="center"/>
              <w:rPr>
                <w:b w:val="0"/>
                <w:bCs w:val="0"/>
                <w:kern w:val="2"/>
                <w:sz w:val="21"/>
                <w:szCs w:val="21"/>
                <w:lang w:val="en-US" w:eastAsia="zh-CN"/>
              </w:rPr>
            </w:pPr>
            <w:r>
              <w:rPr>
                <w:rFonts w:hint="eastAsia"/>
                <w:b w:val="0"/>
                <w:bCs w:val="0"/>
                <w:color w:val="auto"/>
                <w:kern w:val="2"/>
                <w:sz w:val="21"/>
                <w:szCs w:val="21"/>
                <w:lang w:val="en-US" w:eastAsia="zh-CN"/>
              </w:rPr>
              <w:t>孟涛13872688284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8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9</w:t>
            </w:r>
          </w:p>
        </w:tc>
        <w:tc>
          <w:tcPr>
            <w:tcW w:w="137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企业规模</w:t>
            </w:r>
          </w:p>
        </w:tc>
        <w:tc>
          <w:tcPr>
            <w:tcW w:w="3231" w:type="pct"/>
            <w:noWrap/>
            <w:vAlign w:val="center"/>
          </w:tcPr>
          <w:p>
            <w:pPr>
              <w:pStyle w:val="95"/>
              <w:ind w:firstLine="0" w:firstLineChars="0"/>
              <w:jc w:val="both"/>
              <w:rPr>
                <w:b w:val="0"/>
                <w:bCs w:val="0"/>
                <w:kern w:val="2"/>
                <w:sz w:val="21"/>
                <w:szCs w:val="21"/>
                <w:lang w:val="en-US" w:eastAsia="zh-CN"/>
              </w:rPr>
            </w:pPr>
            <w:r>
              <w:rPr>
                <w:rFonts w:hint="eastAsia"/>
                <w:b w:val="0"/>
                <w:bCs w:val="0"/>
                <w:kern w:val="2"/>
                <w:sz w:val="21"/>
                <w:szCs w:val="21"/>
                <w:lang w:val="en-US" w:eastAsia="zh-CN"/>
              </w:rPr>
              <w:t>年产20000吨电子级五氯化磷，副产工业盐酸1581吨、磷酸钙1079.5吨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8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10</w:t>
            </w:r>
          </w:p>
        </w:tc>
        <w:tc>
          <w:tcPr>
            <w:tcW w:w="137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厂区面积</w:t>
            </w:r>
          </w:p>
        </w:tc>
        <w:tc>
          <w:tcPr>
            <w:tcW w:w="3231" w:type="pct"/>
            <w:noWrap/>
            <w:vAlign w:val="center"/>
          </w:tcPr>
          <w:p>
            <w:pPr>
              <w:pStyle w:val="95"/>
              <w:ind w:firstLine="0" w:firstLineChars="0"/>
              <w:jc w:val="center"/>
              <w:rPr>
                <w:b w:val="0"/>
                <w:bCs w:val="0"/>
                <w:kern w:val="2"/>
                <w:sz w:val="21"/>
                <w:szCs w:val="21"/>
                <w:lang w:val="en-US" w:eastAsia="zh-CN"/>
              </w:rPr>
            </w:pPr>
            <w:r>
              <w:rPr>
                <w:rFonts w:hint="eastAsia"/>
                <w:b w:val="0"/>
                <w:bCs w:val="0"/>
                <w:kern w:val="2"/>
                <w:sz w:val="21"/>
                <w:szCs w:val="21"/>
                <w:lang w:val="en-US" w:eastAsia="zh-CN"/>
              </w:rPr>
              <w:t>5686.26</w:t>
            </w:r>
            <w:r>
              <w:rPr>
                <w:b w:val="0"/>
                <w:bCs w:val="0"/>
                <w:kern w:val="2"/>
                <w:sz w:val="21"/>
                <w:szCs w:val="21"/>
                <w:lang w:val="en-US" w:eastAsia="zh-CN"/>
              </w:rPr>
              <w:t>m</w:t>
            </w:r>
            <w:r>
              <w:rPr>
                <w:b w:val="0"/>
                <w:bCs w:val="0"/>
                <w:kern w:val="2"/>
                <w:sz w:val="21"/>
                <w:szCs w:val="21"/>
                <w:vertAlign w:val="superscript"/>
                <w:lang w:val="en-US" w:eastAsia="zh-CN"/>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8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11</w:t>
            </w:r>
          </w:p>
        </w:tc>
        <w:tc>
          <w:tcPr>
            <w:tcW w:w="137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从业人数</w:t>
            </w:r>
          </w:p>
        </w:tc>
        <w:tc>
          <w:tcPr>
            <w:tcW w:w="3231" w:type="pct"/>
            <w:noWrap/>
            <w:vAlign w:val="center"/>
          </w:tcPr>
          <w:p>
            <w:pPr>
              <w:pStyle w:val="95"/>
              <w:ind w:firstLine="0" w:firstLineChars="0"/>
              <w:jc w:val="center"/>
              <w:rPr>
                <w:b w:val="0"/>
                <w:bCs w:val="0"/>
                <w:kern w:val="2"/>
                <w:sz w:val="21"/>
                <w:szCs w:val="21"/>
                <w:lang w:val="en-US" w:eastAsia="zh-CN"/>
              </w:rPr>
            </w:pPr>
            <w:r>
              <w:rPr>
                <w:rFonts w:hint="eastAsia"/>
                <w:b w:val="0"/>
                <w:bCs w:val="0"/>
                <w:kern w:val="2"/>
                <w:sz w:val="21"/>
                <w:szCs w:val="21"/>
                <w:lang w:val="en-US" w:eastAsia="zh-CN"/>
              </w:rPr>
              <w:t>80</w:t>
            </w:r>
            <w:r>
              <w:rPr>
                <w:b w:val="0"/>
                <w:bCs w:val="0"/>
                <w:kern w:val="2"/>
                <w:sz w:val="21"/>
                <w:szCs w:val="21"/>
                <w:lang w:val="en-US" w:eastAsia="zh-CN"/>
              </w:rPr>
              <w:t>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8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12</w:t>
            </w:r>
          </w:p>
        </w:tc>
        <w:tc>
          <w:tcPr>
            <w:tcW w:w="137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年工作时长</w:t>
            </w:r>
          </w:p>
        </w:tc>
        <w:tc>
          <w:tcPr>
            <w:tcW w:w="3231"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3</w:t>
            </w:r>
            <w:r>
              <w:rPr>
                <w:rFonts w:hint="eastAsia"/>
                <w:b w:val="0"/>
                <w:bCs w:val="0"/>
                <w:kern w:val="2"/>
                <w:sz w:val="21"/>
                <w:szCs w:val="21"/>
                <w:lang w:val="en-US" w:eastAsia="zh-CN"/>
              </w:rPr>
              <w:t>1</w:t>
            </w:r>
            <w:r>
              <w:rPr>
                <w:b w:val="0"/>
                <w:bCs w:val="0"/>
                <w:kern w:val="2"/>
                <w:sz w:val="21"/>
                <w:szCs w:val="21"/>
                <w:lang w:val="en-US" w:eastAsia="zh-CN"/>
              </w:rPr>
              <w:t>0天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8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13</w:t>
            </w:r>
          </w:p>
        </w:tc>
        <w:tc>
          <w:tcPr>
            <w:tcW w:w="1379"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现有应急预案情况</w:t>
            </w:r>
          </w:p>
        </w:tc>
        <w:tc>
          <w:tcPr>
            <w:tcW w:w="3231" w:type="pct"/>
            <w:noWrap/>
            <w:vAlign w:val="center"/>
          </w:tcPr>
          <w:p>
            <w:pPr>
              <w:pStyle w:val="95"/>
              <w:ind w:firstLine="0" w:firstLineChars="0"/>
              <w:jc w:val="center"/>
              <w:rPr>
                <w:b w:val="0"/>
                <w:bCs w:val="0"/>
                <w:kern w:val="2"/>
                <w:sz w:val="21"/>
                <w:szCs w:val="21"/>
                <w:lang w:val="en-US" w:eastAsia="zh-CN"/>
              </w:rPr>
            </w:pPr>
            <w:r>
              <w:rPr>
                <w:b w:val="0"/>
                <w:bCs w:val="0"/>
                <w:kern w:val="2"/>
                <w:sz w:val="21"/>
                <w:szCs w:val="21"/>
                <w:lang w:val="en-US" w:eastAsia="zh-CN"/>
              </w:rPr>
              <w:t>应急预案正在编制中</w:t>
            </w:r>
          </w:p>
        </w:tc>
      </w:tr>
    </w:tbl>
    <w:p>
      <w:pPr>
        <w:pStyle w:val="8"/>
        <w:spacing w:line="520" w:lineRule="exact"/>
        <w:ind w:left="0" w:firstLine="0"/>
        <w:rPr>
          <w:rFonts w:eastAsia="仿宋_GB2312"/>
          <w:sz w:val="28"/>
          <w:szCs w:val="28"/>
        </w:rPr>
      </w:pPr>
      <w:r>
        <w:rPr>
          <w:rFonts w:eastAsia="仿宋_GB2312"/>
          <w:sz w:val="28"/>
          <w:szCs w:val="28"/>
        </w:rPr>
        <w:t>项目组成</w:t>
      </w:r>
    </w:p>
    <w:p>
      <w:pPr>
        <w:pStyle w:val="95"/>
        <w:spacing w:line="520" w:lineRule="exact"/>
        <w:ind w:firstLine="560"/>
      </w:pPr>
      <w:bookmarkStart w:id="19" w:name="_Toc302724838"/>
      <w:bookmarkStart w:id="20" w:name="_Toc46911012"/>
      <w:bookmarkStart w:id="21" w:name="_Toc171486852"/>
      <w:bookmarkStart w:id="22" w:name="_Toc318830979"/>
      <w:r>
        <w:rPr>
          <w:rFonts w:hint="eastAsia" w:eastAsia="仿宋"/>
          <w:b w:val="0"/>
          <w:bCs w:val="0"/>
          <w:sz w:val="28"/>
          <w:lang w:val="en-US" w:eastAsia="zh-CN"/>
        </w:rPr>
        <w:t>湖北航欧新材料科技有限公司</w:t>
      </w:r>
      <w:r>
        <w:rPr>
          <w:rFonts w:eastAsia="仿宋"/>
          <w:b w:val="0"/>
          <w:bCs w:val="0"/>
          <w:sz w:val="28"/>
          <w:lang w:val="en-US" w:eastAsia="zh-CN"/>
        </w:rPr>
        <w:t>组成情况见下表2.1-</w:t>
      </w:r>
      <w:r>
        <w:rPr>
          <w:rFonts w:hint="eastAsia" w:eastAsia="仿宋"/>
          <w:b w:val="0"/>
          <w:bCs w:val="0"/>
          <w:sz w:val="28"/>
          <w:lang w:val="en-US" w:eastAsia="zh-CN"/>
        </w:rPr>
        <w:t>2</w:t>
      </w:r>
      <w:r>
        <w:rPr>
          <w:rFonts w:eastAsia="仿宋"/>
          <w:b w:val="0"/>
          <w:bCs w:val="0"/>
          <w:sz w:val="28"/>
          <w:lang w:val="en-US" w:eastAsia="zh-CN"/>
        </w:rPr>
        <w:t>。</w:t>
      </w:r>
    </w:p>
    <w:p>
      <w:pPr>
        <w:jc w:val="center"/>
        <w:rPr>
          <w:rFonts w:eastAsia="仿宋"/>
          <w:sz w:val="28"/>
          <w:szCs w:val="28"/>
        </w:rPr>
      </w:pPr>
      <w:r>
        <w:rPr>
          <w:rFonts w:eastAsia="仿宋"/>
          <w:sz w:val="28"/>
          <w:szCs w:val="28"/>
        </w:rPr>
        <w:t>表2.1-</w:t>
      </w:r>
      <w:r>
        <w:rPr>
          <w:rFonts w:hint="eastAsia" w:eastAsia="仿宋"/>
          <w:sz w:val="28"/>
          <w:szCs w:val="28"/>
        </w:rPr>
        <w:t>2</w:t>
      </w:r>
      <w:r>
        <w:rPr>
          <w:rFonts w:eastAsia="仿宋"/>
          <w:sz w:val="28"/>
          <w:szCs w:val="28"/>
        </w:rPr>
        <w:t xml:space="preserve"> 工程组成内容一览表</w:t>
      </w:r>
    </w:p>
    <w:tbl>
      <w:tblPr>
        <w:tblStyle w:val="35"/>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47"/>
        <w:gridCol w:w="673"/>
        <w:gridCol w:w="477"/>
        <w:gridCol w:w="673"/>
        <w:gridCol w:w="635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tblHeader/>
          <w:jc w:val="center"/>
        </w:trPr>
        <w:tc>
          <w:tcPr>
            <w:tcW w:w="323" w:type="pct"/>
            <w:noWrap/>
            <w:vAlign w:val="center"/>
          </w:tcPr>
          <w:p>
            <w:pPr>
              <w:adjustRightInd w:val="0"/>
              <w:snapToGrid w:val="0"/>
              <w:jc w:val="center"/>
              <w:rPr>
                <w:rFonts w:eastAsia="仿宋"/>
                <w:b/>
                <w:position w:val="6"/>
              </w:rPr>
            </w:pPr>
            <w:r>
              <w:rPr>
                <w:rFonts w:eastAsia="仿宋"/>
                <w:b/>
                <w:position w:val="6"/>
              </w:rPr>
              <w:t>序号</w:t>
            </w:r>
          </w:p>
        </w:tc>
        <w:tc>
          <w:tcPr>
            <w:tcW w:w="347" w:type="pct"/>
            <w:noWrap/>
            <w:vAlign w:val="center"/>
          </w:tcPr>
          <w:p>
            <w:pPr>
              <w:adjustRightInd w:val="0"/>
              <w:snapToGrid w:val="0"/>
              <w:jc w:val="center"/>
              <w:rPr>
                <w:rFonts w:eastAsia="仿宋"/>
                <w:b/>
                <w:position w:val="6"/>
              </w:rPr>
            </w:pPr>
            <w:r>
              <w:rPr>
                <w:rFonts w:eastAsia="仿宋"/>
                <w:b/>
                <w:position w:val="6"/>
              </w:rPr>
              <w:t>类型</w:t>
            </w:r>
          </w:p>
        </w:tc>
        <w:tc>
          <w:tcPr>
            <w:tcW w:w="1001" w:type="pct"/>
            <w:gridSpan w:val="2"/>
            <w:noWrap/>
            <w:vAlign w:val="center"/>
          </w:tcPr>
          <w:p>
            <w:pPr>
              <w:adjustRightInd w:val="0"/>
              <w:snapToGrid w:val="0"/>
              <w:jc w:val="center"/>
              <w:rPr>
                <w:rFonts w:eastAsia="仿宋"/>
                <w:b/>
                <w:position w:val="6"/>
              </w:rPr>
            </w:pPr>
            <w:r>
              <w:rPr>
                <w:rFonts w:eastAsia="仿宋"/>
                <w:b/>
                <w:position w:val="6"/>
              </w:rPr>
              <w:t>项目组成</w:t>
            </w:r>
          </w:p>
        </w:tc>
        <w:tc>
          <w:tcPr>
            <w:tcW w:w="3328" w:type="pct"/>
            <w:noWrap/>
            <w:vAlign w:val="center"/>
          </w:tcPr>
          <w:p>
            <w:pPr>
              <w:adjustRightInd w:val="0"/>
              <w:snapToGrid w:val="0"/>
              <w:jc w:val="center"/>
              <w:rPr>
                <w:rFonts w:eastAsia="仿宋"/>
                <w:b/>
                <w:position w:val="6"/>
              </w:rPr>
            </w:pPr>
            <w:r>
              <w:rPr>
                <w:rFonts w:eastAsia="仿宋"/>
                <w:b/>
                <w:position w:val="6"/>
              </w:rPr>
              <w:t>建设内容及规模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noWrap/>
            <w:vAlign w:val="center"/>
          </w:tcPr>
          <w:p>
            <w:pPr>
              <w:adjustRightInd w:val="0"/>
              <w:snapToGrid w:val="0"/>
              <w:jc w:val="center"/>
              <w:rPr>
                <w:rFonts w:eastAsia="仿宋"/>
                <w:position w:val="6"/>
              </w:rPr>
            </w:pPr>
            <w:r>
              <w:rPr>
                <w:rFonts w:eastAsia="仿宋"/>
                <w:position w:val="6"/>
              </w:rPr>
              <w:t>1</w:t>
            </w:r>
          </w:p>
        </w:tc>
        <w:tc>
          <w:tcPr>
            <w:tcW w:w="347" w:type="pct"/>
            <w:noWrap/>
            <w:vAlign w:val="center"/>
          </w:tcPr>
          <w:p>
            <w:pPr>
              <w:adjustRightInd w:val="0"/>
              <w:snapToGrid w:val="0"/>
              <w:jc w:val="center"/>
              <w:rPr>
                <w:rFonts w:eastAsia="仿宋"/>
                <w:position w:val="6"/>
              </w:rPr>
            </w:pPr>
            <w:r>
              <w:rPr>
                <w:rFonts w:eastAsia="仿宋"/>
                <w:position w:val="6"/>
              </w:rPr>
              <w:t>主体工程</w:t>
            </w:r>
          </w:p>
        </w:tc>
        <w:tc>
          <w:tcPr>
            <w:tcW w:w="1001" w:type="pct"/>
            <w:gridSpan w:val="2"/>
            <w:noWrap/>
            <w:vAlign w:val="center"/>
          </w:tcPr>
          <w:p>
            <w:pPr>
              <w:adjustRightInd w:val="0"/>
              <w:snapToGrid w:val="0"/>
              <w:jc w:val="center"/>
              <w:rPr>
                <w:rFonts w:eastAsia="仿宋"/>
                <w:position w:val="6"/>
              </w:rPr>
            </w:pPr>
            <w:r>
              <w:rPr>
                <w:rFonts w:eastAsia="仿宋"/>
                <w:position w:val="6"/>
              </w:rPr>
              <w:t>甲类车间</w:t>
            </w:r>
          </w:p>
        </w:tc>
        <w:tc>
          <w:tcPr>
            <w:tcW w:w="3328" w:type="pct"/>
            <w:noWrap/>
            <w:vAlign w:val="center"/>
          </w:tcPr>
          <w:p>
            <w:pPr>
              <w:adjustRightInd w:val="0"/>
              <w:snapToGrid w:val="0"/>
              <w:jc w:val="left"/>
              <w:rPr>
                <w:rFonts w:eastAsia="仿宋"/>
                <w:position w:val="6"/>
              </w:rPr>
            </w:pPr>
            <w:r>
              <w:rPr>
                <w:rFonts w:eastAsia="仿宋"/>
                <w:bCs/>
                <w:position w:val="6"/>
              </w:rPr>
              <w:t>建设甲类车间1座，两层，单层面积1260 m</w:t>
            </w:r>
            <w:r>
              <w:rPr>
                <w:rFonts w:eastAsia="仿宋"/>
                <w:bCs/>
                <w:position w:val="6"/>
                <w:vertAlign w:val="superscript"/>
              </w:rPr>
              <w:t>2</w:t>
            </w:r>
            <w:r>
              <w:rPr>
                <w:rFonts w:eastAsia="仿宋"/>
                <w:bCs/>
                <w:position w:val="6"/>
              </w:rPr>
              <w:t>，总面积2520 m</w:t>
            </w:r>
            <w:r>
              <w:rPr>
                <w:rFonts w:eastAsia="仿宋"/>
                <w:bCs/>
                <w:position w:val="6"/>
                <w:vertAlign w:val="superscript"/>
              </w:rPr>
              <w:t>2</w:t>
            </w:r>
            <w:r>
              <w:rPr>
                <w:rFonts w:eastAsia="仿宋"/>
                <w:bCs/>
                <w:position w:val="6"/>
              </w:rPr>
              <w:t>，内有自主设计10000 L一级氯化器2台、精馏塔自主设计、5000 L非标二级氯化器8台、定制液氯汽化器2台、静置罐1台、计量罐2台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restart"/>
            <w:noWrap/>
            <w:vAlign w:val="center"/>
          </w:tcPr>
          <w:p>
            <w:pPr>
              <w:adjustRightInd w:val="0"/>
              <w:snapToGrid w:val="0"/>
              <w:jc w:val="center"/>
              <w:rPr>
                <w:rFonts w:eastAsia="仿宋"/>
                <w:position w:val="6"/>
              </w:rPr>
            </w:pPr>
            <w:r>
              <w:rPr>
                <w:rFonts w:eastAsia="仿宋"/>
                <w:position w:val="6"/>
              </w:rPr>
              <w:t>2</w:t>
            </w:r>
          </w:p>
        </w:tc>
        <w:tc>
          <w:tcPr>
            <w:tcW w:w="347" w:type="pct"/>
            <w:vMerge w:val="restart"/>
            <w:noWrap/>
            <w:vAlign w:val="center"/>
          </w:tcPr>
          <w:p>
            <w:pPr>
              <w:adjustRightInd w:val="0"/>
              <w:snapToGrid w:val="0"/>
              <w:jc w:val="center"/>
              <w:rPr>
                <w:rFonts w:eastAsia="仿宋"/>
                <w:position w:val="6"/>
              </w:rPr>
            </w:pPr>
            <w:r>
              <w:rPr>
                <w:rFonts w:eastAsia="仿宋"/>
                <w:position w:val="6"/>
              </w:rPr>
              <w:t>公用及辅助工程</w:t>
            </w:r>
          </w:p>
        </w:tc>
        <w:tc>
          <w:tcPr>
            <w:tcW w:w="1001" w:type="pct"/>
            <w:gridSpan w:val="2"/>
            <w:noWrap/>
            <w:vAlign w:val="center"/>
          </w:tcPr>
          <w:p>
            <w:pPr>
              <w:adjustRightInd w:val="0"/>
              <w:snapToGrid w:val="0"/>
              <w:jc w:val="center"/>
              <w:rPr>
                <w:rFonts w:eastAsia="仿宋"/>
                <w:position w:val="6"/>
              </w:rPr>
            </w:pPr>
            <w:r>
              <w:rPr>
                <w:rFonts w:eastAsia="仿宋"/>
                <w:position w:val="6"/>
              </w:rPr>
              <w:t>给水工程</w:t>
            </w:r>
          </w:p>
        </w:tc>
        <w:tc>
          <w:tcPr>
            <w:tcW w:w="3328" w:type="pct"/>
            <w:noWrap/>
            <w:vAlign w:val="center"/>
          </w:tcPr>
          <w:p>
            <w:pPr>
              <w:adjustRightInd w:val="0"/>
              <w:snapToGrid w:val="0"/>
              <w:jc w:val="left"/>
              <w:rPr>
                <w:rFonts w:eastAsia="仿宋"/>
                <w:position w:val="6"/>
              </w:rPr>
            </w:pPr>
            <w:r>
              <w:rPr>
                <w:rFonts w:eastAsia="仿宋"/>
                <w:position w:val="6"/>
              </w:rPr>
              <w:t>项目供水依托园区供水管网，并有供水管路输送至全公司各系统，各系统根据用水压力等级适当建设二次加压泵</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position w:val="6"/>
              </w:rPr>
              <w:t>排水工程</w:t>
            </w:r>
          </w:p>
        </w:tc>
        <w:tc>
          <w:tcPr>
            <w:tcW w:w="3328" w:type="pct"/>
            <w:noWrap/>
            <w:vAlign w:val="center"/>
          </w:tcPr>
          <w:p>
            <w:pPr>
              <w:adjustRightInd w:val="0"/>
              <w:snapToGrid w:val="0"/>
              <w:jc w:val="left"/>
              <w:rPr>
                <w:rFonts w:eastAsia="仿宋"/>
                <w:position w:val="6"/>
              </w:rPr>
            </w:pPr>
            <w:r>
              <w:rPr>
                <w:rFonts w:eastAsia="仿宋"/>
                <w:position w:val="6"/>
              </w:rPr>
              <w:t>生产废水（生产装置废水、车间清洗废水、空压机废水等）经自建污水处理站处理后排入园区市政污水管网，生活污水经化粪池预处理后排入市政污水管网，废水最终进入远安县工业污水处理厂集中处理后达标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position w:val="6"/>
              </w:rPr>
              <w:t>供电工程</w:t>
            </w:r>
          </w:p>
        </w:tc>
        <w:tc>
          <w:tcPr>
            <w:tcW w:w="3328" w:type="pct"/>
            <w:noWrap/>
            <w:vAlign w:val="center"/>
          </w:tcPr>
          <w:p>
            <w:pPr>
              <w:adjustRightInd w:val="0"/>
              <w:snapToGrid w:val="0"/>
              <w:rPr>
                <w:rFonts w:eastAsia="仿宋"/>
                <w:position w:val="6"/>
              </w:rPr>
            </w:pPr>
            <w:r>
              <w:rPr>
                <w:rFonts w:eastAsia="仿宋"/>
                <w:position w:val="6"/>
              </w:rPr>
              <w:t>由园区变电站10 KV引线至公司厂变电所，双回路供电，并与公司内发电系统形成三路供电。公司变电所设置10 KV/800 KVA变压器1台，年用电量约292万kWh</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position w:val="6"/>
              </w:rPr>
              <w:t>空压站</w:t>
            </w:r>
          </w:p>
        </w:tc>
        <w:tc>
          <w:tcPr>
            <w:tcW w:w="3328" w:type="pct"/>
            <w:noWrap/>
            <w:vAlign w:val="center"/>
          </w:tcPr>
          <w:p>
            <w:pPr>
              <w:adjustRightInd w:val="0"/>
              <w:snapToGrid w:val="0"/>
              <w:jc w:val="left"/>
              <w:rPr>
                <w:rFonts w:eastAsia="仿宋"/>
                <w:position w:val="6"/>
              </w:rPr>
            </w:pPr>
            <w:r>
              <w:rPr>
                <w:rFonts w:eastAsia="仿宋"/>
                <w:position w:val="6"/>
              </w:rPr>
              <w:t>内含空压机和制氮机（PSA变压吸附制氮原理）各一台，总占地面积45 m</w:t>
            </w:r>
            <w:r>
              <w:rPr>
                <w:rFonts w:eastAsia="仿宋"/>
                <w:position w:val="6"/>
                <w:vertAlign w:val="superscript"/>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position w:val="6"/>
              </w:rPr>
              <w:t>循环水站</w:t>
            </w:r>
          </w:p>
        </w:tc>
        <w:tc>
          <w:tcPr>
            <w:tcW w:w="3328" w:type="pct"/>
            <w:noWrap/>
            <w:vAlign w:val="center"/>
          </w:tcPr>
          <w:p>
            <w:pPr>
              <w:adjustRightInd w:val="0"/>
              <w:snapToGrid w:val="0"/>
              <w:jc w:val="left"/>
              <w:rPr>
                <w:rFonts w:eastAsia="仿宋"/>
                <w:position w:val="6"/>
              </w:rPr>
            </w:pPr>
            <w:r>
              <w:rPr>
                <w:rFonts w:eastAsia="仿宋"/>
                <w:bCs/>
                <w:position w:val="6"/>
              </w:rPr>
              <w:t>1座，工业型组合逆流式玻璃钢冷却塔（500 t/h），为生产提供循环水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position w:val="6"/>
              </w:rPr>
              <w:t>消防</w:t>
            </w:r>
          </w:p>
        </w:tc>
        <w:tc>
          <w:tcPr>
            <w:tcW w:w="3328" w:type="pct"/>
            <w:noWrap/>
            <w:vAlign w:val="center"/>
          </w:tcPr>
          <w:p>
            <w:pPr>
              <w:adjustRightInd w:val="0"/>
              <w:snapToGrid w:val="0"/>
              <w:jc w:val="left"/>
              <w:rPr>
                <w:rFonts w:eastAsia="仿宋"/>
                <w:position w:val="6"/>
              </w:rPr>
            </w:pPr>
            <w:r>
              <w:rPr>
                <w:rFonts w:eastAsia="仿宋"/>
                <w:position w:val="6"/>
              </w:rPr>
              <w:t>设置了1个容积500 m</w:t>
            </w:r>
            <w:r>
              <w:rPr>
                <w:rFonts w:eastAsia="仿宋"/>
                <w:position w:val="6"/>
                <w:vertAlign w:val="superscript"/>
              </w:rPr>
              <w:t>3</w:t>
            </w:r>
            <w:r>
              <w:rPr>
                <w:rFonts w:eastAsia="仿宋"/>
                <w:position w:val="6"/>
              </w:rPr>
              <w:t>的高位水池</w:t>
            </w:r>
            <w:r>
              <w:rPr>
                <w:rFonts w:eastAsia="仿宋"/>
                <w:bCs/>
                <w:position w:val="6"/>
              </w:rPr>
              <w:t xml:space="preserve">；按规定设置室内外消火栓、小型灭火器材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position w:val="6"/>
              </w:rPr>
              <w:t>锅炉房</w:t>
            </w:r>
          </w:p>
        </w:tc>
        <w:tc>
          <w:tcPr>
            <w:tcW w:w="3328" w:type="pct"/>
            <w:noWrap/>
            <w:vAlign w:val="center"/>
          </w:tcPr>
          <w:p>
            <w:pPr>
              <w:adjustRightInd w:val="0"/>
              <w:snapToGrid w:val="0"/>
              <w:jc w:val="left"/>
              <w:rPr>
                <w:rFonts w:eastAsia="仿宋"/>
                <w:position w:val="6"/>
              </w:rPr>
            </w:pPr>
            <w:r>
              <w:rPr>
                <w:rFonts w:eastAsia="仿宋"/>
                <w:position w:val="6"/>
              </w:rPr>
              <w:t>设置1台1.5 t/h的生物质锅炉，锅炉型号为LHG1.5-0.09-SCI，选用成型生物质燃料，并配备高效袋式除尘器，锅炉房占地面积252 m</w:t>
            </w:r>
            <w:r>
              <w:rPr>
                <w:rFonts w:eastAsia="仿宋"/>
                <w:position w:val="6"/>
                <w:vertAlign w:val="superscript"/>
              </w:rPr>
              <w:t>2</w:t>
            </w:r>
            <w:r>
              <w:rPr>
                <w:rFonts w:eastAsia="仿宋"/>
                <w:position w:val="6"/>
              </w:rPr>
              <w:t>，该生物质锅炉为临时锅炉，待纳入园区集中供热范围后取消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restart"/>
            <w:noWrap/>
            <w:vAlign w:val="center"/>
          </w:tcPr>
          <w:p>
            <w:pPr>
              <w:adjustRightInd w:val="0"/>
              <w:snapToGrid w:val="0"/>
              <w:jc w:val="center"/>
              <w:rPr>
                <w:rFonts w:eastAsia="仿宋"/>
                <w:position w:val="6"/>
              </w:rPr>
            </w:pPr>
            <w:r>
              <w:rPr>
                <w:rFonts w:eastAsia="仿宋"/>
                <w:position w:val="6"/>
              </w:rPr>
              <w:t>3</w:t>
            </w:r>
          </w:p>
        </w:tc>
        <w:tc>
          <w:tcPr>
            <w:tcW w:w="347" w:type="pct"/>
            <w:vMerge w:val="restart"/>
            <w:noWrap/>
            <w:vAlign w:val="center"/>
          </w:tcPr>
          <w:p>
            <w:pPr>
              <w:adjustRightInd w:val="0"/>
              <w:snapToGrid w:val="0"/>
              <w:jc w:val="center"/>
              <w:rPr>
                <w:rFonts w:eastAsia="仿宋"/>
                <w:position w:val="6"/>
              </w:rPr>
            </w:pPr>
            <w:r>
              <w:rPr>
                <w:rFonts w:eastAsia="仿宋"/>
                <w:position w:val="6"/>
              </w:rPr>
              <w:t>储运工程</w:t>
            </w:r>
          </w:p>
        </w:tc>
        <w:tc>
          <w:tcPr>
            <w:tcW w:w="1001" w:type="pct"/>
            <w:gridSpan w:val="2"/>
            <w:noWrap/>
            <w:vAlign w:val="center"/>
          </w:tcPr>
          <w:p>
            <w:pPr>
              <w:adjustRightInd w:val="0"/>
              <w:snapToGrid w:val="0"/>
              <w:jc w:val="center"/>
              <w:rPr>
                <w:rFonts w:eastAsia="仿宋"/>
                <w:position w:val="6"/>
              </w:rPr>
            </w:pPr>
            <w:r>
              <w:rPr>
                <w:rFonts w:eastAsia="仿宋"/>
                <w:bCs/>
              </w:rPr>
              <w:t>丙类仓库</w:t>
            </w:r>
          </w:p>
        </w:tc>
        <w:tc>
          <w:tcPr>
            <w:tcW w:w="3328" w:type="pct"/>
            <w:noWrap/>
            <w:vAlign w:val="center"/>
          </w:tcPr>
          <w:p>
            <w:pPr>
              <w:adjustRightInd w:val="0"/>
              <w:snapToGrid w:val="0"/>
              <w:jc w:val="left"/>
              <w:rPr>
                <w:rFonts w:eastAsia="仿宋"/>
                <w:position w:val="6"/>
              </w:rPr>
            </w:pPr>
            <w:r>
              <w:rPr>
                <w:rFonts w:eastAsia="仿宋"/>
                <w:bCs/>
              </w:rPr>
              <w:t>单层砖混结构，占地面积1440 m</w:t>
            </w:r>
            <w:r>
              <w:rPr>
                <w:rFonts w:eastAsia="仿宋"/>
                <w:bCs/>
                <w:vertAlign w:val="superscript"/>
              </w:rPr>
              <w:t>2</w:t>
            </w:r>
            <w:r>
              <w:rPr>
                <w:rFonts w:eastAsia="仿宋"/>
                <w:bCs/>
              </w:rPr>
              <w:t>，</w:t>
            </w:r>
            <w:r>
              <w:rPr>
                <w:rFonts w:eastAsia="仿宋"/>
              </w:rPr>
              <w:t>用于产品五氯化磷、副产盐酸、生物质颗粒和磷酸钙等的储存。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bCs/>
              </w:rPr>
            </w:pPr>
            <w:r>
              <w:rPr>
                <w:rFonts w:eastAsia="仿宋"/>
                <w:bCs/>
              </w:rPr>
              <w:t>黄磷地槽</w:t>
            </w:r>
          </w:p>
        </w:tc>
        <w:tc>
          <w:tcPr>
            <w:tcW w:w="3328" w:type="pct"/>
            <w:noWrap/>
            <w:vAlign w:val="center"/>
          </w:tcPr>
          <w:p>
            <w:pPr>
              <w:adjustRightInd w:val="0"/>
              <w:snapToGrid w:val="0"/>
              <w:rPr>
                <w:rFonts w:eastAsia="仿宋"/>
                <w:bCs/>
              </w:rPr>
            </w:pPr>
            <w:r>
              <w:rPr>
                <w:rFonts w:eastAsia="仿宋"/>
                <w:bCs/>
              </w:rPr>
              <w:t>位于丙类车间旁，紧邻卸料区和事故应急池布设，占地100 m</w:t>
            </w:r>
            <w:r>
              <w:rPr>
                <w:rFonts w:eastAsia="仿宋"/>
                <w:bCs/>
                <w:vertAlign w:val="superscript"/>
              </w:rPr>
              <w:t>2</w:t>
            </w:r>
            <w:r>
              <w:rPr>
                <w:rFonts w:eastAsia="仿宋"/>
                <w:bCs/>
              </w:rPr>
              <w:t>，埋置深度4.5 m，项目黄磷以黄磷罐车运至厂区，运输车自带管道，以虹吸方式直接进入地槽，地槽设有水封和盘管保温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position w:val="6"/>
              </w:rPr>
              <w:t>液/气态物料流转</w:t>
            </w:r>
          </w:p>
        </w:tc>
        <w:tc>
          <w:tcPr>
            <w:tcW w:w="3328" w:type="pct"/>
            <w:noWrap/>
            <w:vAlign w:val="center"/>
          </w:tcPr>
          <w:p>
            <w:pPr>
              <w:adjustRightInd w:val="0"/>
              <w:snapToGrid w:val="0"/>
              <w:jc w:val="left"/>
              <w:rPr>
                <w:rFonts w:eastAsia="仿宋"/>
                <w:position w:val="6"/>
              </w:rPr>
            </w:pPr>
            <w:r>
              <w:rPr>
                <w:rFonts w:eastAsia="仿宋"/>
                <w:position w:val="6"/>
              </w:rPr>
              <w:t>密闭管道输送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position w:val="6"/>
              </w:rPr>
              <w:t>固态物料运输</w:t>
            </w:r>
          </w:p>
        </w:tc>
        <w:tc>
          <w:tcPr>
            <w:tcW w:w="3328" w:type="pct"/>
            <w:noWrap/>
            <w:vAlign w:val="center"/>
          </w:tcPr>
          <w:p>
            <w:pPr>
              <w:adjustRightInd w:val="0"/>
              <w:snapToGrid w:val="0"/>
              <w:jc w:val="left"/>
              <w:rPr>
                <w:rFonts w:eastAsia="仿宋"/>
                <w:position w:val="6"/>
              </w:rPr>
            </w:pPr>
            <w:r>
              <w:rPr>
                <w:rFonts w:eastAsia="仿宋"/>
                <w:position w:val="6"/>
              </w:rPr>
              <w:t>汽车、叉车（厂内）运输均委托有危险化学品运输资质的单位承运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position w:val="6"/>
              </w:rPr>
              <w:t>液氯罐区</w:t>
            </w:r>
          </w:p>
        </w:tc>
        <w:tc>
          <w:tcPr>
            <w:tcW w:w="3328" w:type="pct"/>
            <w:noWrap/>
            <w:vAlign w:val="center"/>
          </w:tcPr>
          <w:p>
            <w:pPr>
              <w:adjustRightInd w:val="0"/>
              <w:snapToGrid w:val="0"/>
              <w:jc w:val="left"/>
              <w:rPr>
                <w:rFonts w:eastAsia="仿宋"/>
                <w:position w:val="6"/>
              </w:rPr>
            </w:pPr>
            <w:r>
              <w:rPr>
                <w:rFonts w:eastAsia="仿宋"/>
                <w:bCs/>
                <w:position w:val="6"/>
              </w:rPr>
              <w:t>内设3个（两用一备）50 m</w:t>
            </w:r>
            <w:r>
              <w:rPr>
                <w:rFonts w:eastAsia="仿宋"/>
                <w:bCs/>
                <w:position w:val="6"/>
                <w:vertAlign w:val="superscript"/>
              </w:rPr>
              <w:t>3</w:t>
            </w:r>
            <w:r>
              <w:rPr>
                <w:rFonts w:eastAsia="仿宋"/>
                <w:bCs/>
                <w:position w:val="6"/>
              </w:rPr>
              <w:t>液氯储罐，项目液氯经储罐车运至厂区后，通过车辆自带管道连接后转至液氯储罐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position w:val="6"/>
              </w:rPr>
              <w:t>盐酸罐区</w:t>
            </w:r>
          </w:p>
        </w:tc>
        <w:tc>
          <w:tcPr>
            <w:tcW w:w="3328" w:type="pct"/>
            <w:noWrap/>
            <w:vAlign w:val="center"/>
          </w:tcPr>
          <w:p>
            <w:pPr>
              <w:adjustRightInd w:val="0"/>
              <w:snapToGrid w:val="0"/>
              <w:jc w:val="left"/>
              <w:rPr>
                <w:rFonts w:eastAsia="仿宋"/>
                <w:position w:val="6"/>
              </w:rPr>
            </w:pPr>
            <w:r>
              <w:rPr>
                <w:rFonts w:eastAsia="仿宋"/>
                <w:bCs/>
                <w:position w:val="6"/>
              </w:rPr>
              <w:t>建于公司甲类厂房旁，内设1个30 m</w:t>
            </w:r>
            <w:r>
              <w:rPr>
                <w:rFonts w:eastAsia="仿宋"/>
                <w:bCs/>
                <w:position w:val="6"/>
                <w:vertAlign w:val="superscript"/>
              </w:rPr>
              <w:t>3</w:t>
            </w:r>
            <w:r>
              <w:rPr>
                <w:rFonts w:eastAsia="仿宋"/>
                <w:bCs/>
                <w:position w:val="6"/>
              </w:rPr>
              <w:t>盐酸储罐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restart"/>
            <w:noWrap/>
            <w:vAlign w:val="center"/>
          </w:tcPr>
          <w:p>
            <w:pPr>
              <w:adjustRightInd w:val="0"/>
              <w:snapToGrid w:val="0"/>
              <w:jc w:val="center"/>
              <w:rPr>
                <w:rFonts w:eastAsia="仿宋"/>
                <w:position w:val="6"/>
              </w:rPr>
            </w:pPr>
            <w:r>
              <w:rPr>
                <w:rFonts w:eastAsia="仿宋"/>
                <w:position w:val="6"/>
              </w:rPr>
              <w:t>4</w:t>
            </w:r>
          </w:p>
        </w:tc>
        <w:tc>
          <w:tcPr>
            <w:tcW w:w="347" w:type="pct"/>
            <w:vMerge w:val="restart"/>
            <w:noWrap/>
            <w:vAlign w:val="center"/>
          </w:tcPr>
          <w:p>
            <w:pPr>
              <w:adjustRightInd w:val="0"/>
              <w:snapToGrid w:val="0"/>
              <w:jc w:val="center"/>
              <w:rPr>
                <w:rFonts w:eastAsia="仿宋"/>
                <w:position w:val="6"/>
              </w:rPr>
            </w:pPr>
            <w:r>
              <w:rPr>
                <w:rFonts w:eastAsia="仿宋"/>
                <w:position w:val="6"/>
              </w:rPr>
              <w:t>行政生活设施</w:t>
            </w:r>
          </w:p>
        </w:tc>
        <w:tc>
          <w:tcPr>
            <w:tcW w:w="1001" w:type="pct"/>
            <w:gridSpan w:val="2"/>
            <w:noWrap/>
            <w:vAlign w:val="center"/>
          </w:tcPr>
          <w:p>
            <w:pPr>
              <w:adjustRightInd w:val="0"/>
              <w:snapToGrid w:val="0"/>
              <w:jc w:val="center"/>
              <w:rPr>
                <w:rFonts w:eastAsia="仿宋"/>
                <w:position w:val="6"/>
              </w:rPr>
            </w:pPr>
            <w:r>
              <w:rPr>
                <w:rFonts w:eastAsia="仿宋"/>
                <w:position w:val="6"/>
              </w:rPr>
              <w:t>综合楼</w:t>
            </w:r>
          </w:p>
        </w:tc>
        <w:tc>
          <w:tcPr>
            <w:tcW w:w="3328" w:type="pct"/>
            <w:noWrap/>
            <w:vAlign w:val="center"/>
          </w:tcPr>
          <w:p>
            <w:pPr>
              <w:adjustRightInd w:val="0"/>
              <w:snapToGrid w:val="0"/>
              <w:jc w:val="left"/>
              <w:rPr>
                <w:rFonts w:eastAsia="仿宋"/>
                <w:position w:val="6"/>
              </w:rPr>
            </w:pPr>
            <w:r>
              <w:rPr>
                <w:rFonts w:eastAsia="仿宋"/>
                <w:position w:val="6"/>
              </w:rPr>
              <w:t>单层，内设机修储物间、生产调度室、淋浴室等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position w:val="6"/>
              </w:rPr>
              <w:t>食堂</w:t>
            </w:r>
          </w:p>
        </w:tc>
        <w:tc>
          <w:tcPr>
            <w:tcW w:w="3328" w:type="pct"/>
            <w:noWrap/>
            <w:vAlign w:val="center"/>
          </w:tcPr>
          <w:p>
            <w:pPr>
              <w:adjustRightInd w:val="0"/>
              <w:snapToGrid w:val="0"/>
              <w:jc w:val="left"/>
              <w:rPr>
                <w:rFonts w:eastAsia="仿宋"/>
                <w:position w:val="6"/>
              </w:rPr>
            </w:pPr>
            <w:r>
              <w:rPr>
                <w:rFonts w:eastAsia="仿宋"/>
                <w:position w:val="6"/>
              </w:rPr>
              <w:t>位于综合楼内，提供三餐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position w:val="6"/>
              </w:rPr>
              <w:t>厕所</w:t>
            </w:r>
          </w:p>
        </w:tc>
        <w:tc>
          <w:tcPr>
            <w:tcW w:w="3328" w:type="pct"/>
            <w:noWrap/>
            <w:vAlign w:val="center"/>
          </w:tcPr>
          <w:p>
            <w:pPr>
              <w:adjustRightInd w:val="0"/>
              <w:snapToGrid w:val="0"/>
              <w:jc w:val="left"/>
              <w:rPr>
                <w:rFonts w:eastAsia="仿宋"/>
                <w:position w:val="6"/>
              </w:rPr>
            </w:pPr>
            <w:r>
              <w:rPr>
                <w:rFonts w:eastAsia="仿宋"/>
                <w:position w:val="6"/>
              </w:rPr>
              <w:t>2座，分别位于综合楼和循环水站旁</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position w:val="6"/>
              </w:rPr>
              <w:t>门卫</w:t>
            </w:r>
          </w:p>
        </w:tc>
        <w:tc>
          <w:tcPr>
            <w:tcW w:w="3328" w:type="pct"/>
            <w:noWrap/>
            <w:vAlign w:val="center"/>
          </w:tcPr>
          <w:p>
            <w:pPr>
              <w:adjustRightInd w:val="0"/>
              <w:snapToGrid w:val="0"/>
              <w:jc w:val="left"/>
              <w:rPr>
                <w:rFonts w:eastAsia="仿宋"/>
                <w:position w:val="6"/>
              </w:rPr>
            </w:pPr>
            <w:r>
              <w:rPr>
                <w:rFonts w:eastAsia="仿宋"/>
                <w:position w:val="6"/>
              </w:rPr>
              <w:t>1座、一层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position w:val="6"/>
              </w:rPr>
              <w:t>地磅</w:t>
            </w:r>
          </w:p>
        </w:tc>
        <w:tc>
          <w:tcPr>
            <w:tcW w:w="3328" w:type="pct"/>
            <w:noWrap/>
            <w:vAlign w:val="center"/>
          </w:tcPr>
          <w:p>
            <w:pPr>
              <w:adjustRightInd w:val="0"/>
              <w:snapToGrid w:val="0"/>
              <w:jc w:val="left"/>
              <w:rPr>
                <w:rFonts w:eastAsia="仿宋"/>
                <w:bCs/>
              </w:rPr>
            </w:pPr>
            <w:r>
              <w:rPr>
                <w:rFonts w:eastAsia="仿宋"/>
                <w:bCs/>
              </w:rPr>
              <w:t>1座，用于称重，地磅占地面积约16 m</w:t>
            </w:r>
            <w:r>
              <w:rPr>
                <w:rFonts w:eastAsia="仿宋"/>
                <w:bCs/>
                <w:vertAlign w:val="superscript"/>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23" w:type="pct"/>
            <w:vMerge w:val="restart"/>
            <w:noWrap/>
            <w:vAlign w:val="center"/>
          </w:tcPr>
          <w:p>
            <w:pPr>
              <w:adjustRightInd w:val="0"/>
              <w:snapToGrid w:val="0"/>
              <w:jc w:val="center"/>
              <w:rPr>
                <w:rFonts w:eastAsia="仿宋"/>
                <w:position w:val="6"/>
              </w:rPr>
            </w:pPr>
            <w:r>
              <w:rPr>
                <w:rFonts w:eastAsia="仿宋"/>
                <w:position w:val="6"/>
              </w:rPr>
              <w:t>5</w:t>
            </w:r>
          </w:p>
        </w:tc>
        <w:tc>
          <w:tcPr>
            <w:tcW w:w="347" w:type="pct"/>
            <w:vMerge w:val="restart"/>
            <w:noWrap/>
            <w:vAlign w:val="center"/>
          </w:tcPr>
          <w:p>
            <w:pPr>
              <w:adjustRightInd w:val="0"/>
              <w:snapToGrid w:val="0"/>
              <w:jc w:val="center"/>
              <w:rPr>
                <w:rFonts w:eastAsia="仿宋"/>
                <w:position w:val="6"/>
              </w:rPr>
            </w:pPr>
            <w:r>
              <w:rPr>
                <w:rFonts w:eastAsia="仿宋"/>
                <w:position w:val="6"/>
              </w:rPr>
              <w:t>环保工程</w:t>
            </w:r>
          </w:p>
        </w:tc>
        <w:tc>
          <w:tcPr>
            <w:tcW w:w="365" w:type="pct"/>
            <w:vMerge w:val="restart"/>
            <w:noWrap/>
            <w:vAlign w:val="center"/>
          </w:tcPr>
          <w:p>
            <w:pPr>
              <w:adjustRightInd w:val="0"/>
              <w:snapToGrid w:val="0"/>
              <w:jc w:val="center"/>
              <w:rPr>
                <w:rFonts w:eastAsia="仿宋"/>
                <w:position w:val="6"/>
              </w:rPr>
            </w:pPr>
            <w:r>
              <w:rPr>
                <w:rFonts w:eastAsia="仿宋"/>
                <w:position w:val="6"/>
              </w:rPr>
              <w:t>废气处理</w:t>
            </w:r>
          </w:p>
        </w:tc>
        <w:tc>
          <w:tcPr>
            <w:tcW w:w="636" w:type="pct"/>
            <w:noWrap/>
            <w:vAlign w:val="center"/>
          </w:tcPr>
          <w:p>
            <w:pPr>
              <w:adjustRightInd w:val="0"/>
              <w:snapToGrid w:val="0"/>
              <w:jc w:val="center"/>
              <w:rPr>
                <w:rFonts w:eastAsia="仿宋"/>
                <w:position w:val="6"/>
              </w:rPr>
            </w:pPr>
            <w:r>
              <w:rPr>
                <w:rFonts w:eastAsia="仿宋"/>
                <w:position w:val="6"/>
              </w:rPr>
              <w:t>装置尾气</w:t>
            </w:r>
          </w:p>
        </w:tc>
        <w:tc>
          <w:tcPr>
            <w:tcW w:w="3328" w:type="pct"/>
            <w:noWrap/>
            <w:vAlign w:val="center"/>
          </w:tcPr>
          <w:p>
            <w:pPr>
              <w:adjustRightInd w:val="0"/>
              <w:snapToGrid w:val="0"/>
              <w:jc w:val="left"/>
              <w:rPr>
                <w:rFonts w:eastAsia="仿宋"/>
                <w:snapToGrid w:val="0"/>
              </w:rPr>
            </w:pPr>
            <w:r>
              <w:rPr>
                <w:rFonts w:eastAsia="仿宋"/>
                <w:snapToGrid w:val="0"/>
              </w:rPr>
              <w:t>尾气经水喷淋塔（或降膜吸收塔）装置回收盐酸后，拟采用一级碱喷淋塔吸收处理后经30米排气筒达标排放</w:t>
            </w:r>
          </w:p>
          <w:p>
            <w:pPr>
              <w:adjustRightInd w:val="0"/>
              <w:snapToGrid w:val="0"/>
              <w:jc w:val="left"/>
              <w:rPr>
                <w:rFonts w:eastAsia="仿宋"/>
                <w:position w:val="6"/>
              </w:rPr>
            </w:pPr>
            <w:r>
              <w:rPr>
                <w:rFonts w:eastAsia="仿宋"/>
                <w:bCs/>
                <w:position w:val="6"/>
              </w:rPr>
              <w:t>项目液氯装卸在密闭厂房内进行，产生的废气经负压抽风收集后通过管道通入液碱洗涤塔处理后并入DA001排气筒集中排放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365" w:type="pct"/>
            <w:vMerge w:val="continue"/>
            <w:noWrap/>
            <w:vAlign w:val="center"/>
          </w:tcPr>
          <w:p>
            <w:pPr>
              <w:adjustRightInd w:val="0"/>
              <w:snapToGrid w:val="0"/>
              <w:jc w:val="center"/>
              <w:rPr>
                <w:rFonts w:eastAsia="仿宋"/>
                <w:position w:val="6"/>
              </w:rPr>
            </w:pPr>
          </w:p>
        </w:tc>
        <w:tc>
          <w:tcPr>
            <w:tcW w:w="636" w:type="pct"/>
            <w:noWrap/>
            <w:vAlign w:val="center"/>
          </w:tcPr>
          <w:p>
            <w:pPr>
              <w:adjustRightInd w:val="0"/>
              <w:snapToGrid w:val="0"/>
              <w:jc w:val="center"/>
              <w:rPr>
                <w:rFonts w:eastAsia="仿宋"/>
                <w:position w:val="6"/>
              </w:rPr>
            </w:pPr>
            <w:r>
              <w:rPr>
                <w:rFonts w:eastAsia="仿宋"/>
                <w:position w:val="6"/>
              </w:rPr>
              <w:t>锅炉废气</w:t>
            </w:r>
          </w:p>
        </w:tc>
        <w:tc>
          <w:tcPr>
            <w:tcW w:w="3328" w:type="pct"/>
            <w:noWrap/>
            <w:vAlign w:val="center"/>
          </w:tcPr>
          <w:p>
            <w:pPr>
              <w:adjustRightInd w:val="0"/>
              <w:snapToGrid w:val="0"/>
              <w:jc w:val="left"/>
              <w:rPr>
                <w:rFonts w:eastAsia="仿宋"/>
                <w:snapToGrid w:val="0"/>
              </w:rPr>
            </w:pPr>
            <w:r>
              <w:rPr>
                <w:rFonts w:eastAsia="仿宋"/>
                <w:snapToGrid w:val="0"/>
              </w:rPr>
              <w:t>尾气经布袋除尘后经25 m高烟囱排放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365" w:type="pct"/>
            <w:vMerge w:val="restart"/>
            <w:noWrap/>
            <w:vAlign w:val="center"/>
          </w:tcPr>
          <w:p>
            <w:pPr>
              <w:adjustRightInd w:val="0"/>
              <w:snapToGrid w:val="0"/>
              <w:jc w:val="center"/>
              <w:rPr>
                <w:rFonts w:eastAsia="仿宋"/>
                <w:position w:val="6"/>
              </w:rPr>
            </w:pPr>
            <w:r>
              <w:rPr>
                <w:rFonts w:eastAsia="仿宋"/>
                <w:position w:val="6"/>
              </w:rPr>
              <w:t>废水处理</w:t>
            </w:r>
          </w:p>
        </w:tc>
        <w:tc>
          <w:tcPr>
            <w:tcW w:w="636" w:type="pct"/>
            <w:noWrap/>
            <w:vAlign w:val="center"/>
          </w:tcPr>
          <w:p>
            <w:pPr>
              <w:adjustRightInd w:val="0"/>
              <w:snapToGrid w:val="0"/>
              <w:jc w:val="center"/>
              <w:rPr>
                <w:rFonts w:eastAsia="仿宋"/>
                <w:position w:val="6"/>
              </w:rPr>
            </w:pPr>
            <w:r>
              <w:rPr>
                <w:rFonts w:eastAsia="仿宋"/>
                <w:position w:val="6"/>
              </w:rPr>
              <w:t>生产废水</w:t>
            </w:r>
          </w:p>
        </w:tc>
        <w:tc>
          <w:tcPr>
            <w:tcW w:w="3328" w:type="pct"/>
            <w:noWrap/>
            <w:vAlign w:val="center"/>
          </w:tcPr>
          <w:p>
            <w:pPr>
              <w:adjustRightInd w:val="0"/>
              <w:snapToGrid w:val="0"/>
              <w:jc w:val="left"/>
              <w:rPr>
                <w:rFonts w:eastAsia="仿宋"/>
                <w:position w:val="6"/>
              </w:rPr>
            </w:pPr>
            <w:r>
              <w:rPr>
                <w:rFonts w:eastAsia="仿宋"/>
                <w:snapToGrid w:val="0"/>
              </w:rPr>
              <w:t>采用絮凝（PAM/PAC）、压滤处理工艺进行处理，处理后，排入园区工业污水管网</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365" w:type="pct"/>
            <w:vMerge w:val="continue"/>
            <w:noWrap/>
            <w:vAlign w:val="center"/>
          </w:tcPr>
          <w:p>
            <w:pPr>
              <w:adjustRightInd w:val="0"/>
              <w:snapToGrid w:val="0"/>
              <w:jc w:val="center"/>
              <w:rPr>
                <w:rFonts w:eastAsia="仿宋"/>
                <w:position w:val="6"/>
              </w:rPr>
            </w:pPr>
          </w:p>
        </w:tc>
        <w:tc>
          <w:tcPr>
            <w:tcW w:w="636" w:type="pct"/>
            <w:noWrap/>
            <w:vAlign w:val="center"/>
          </w:tcPr>
          <w:p>
            <w:pPr>
              <w:adjustRightInd w:val="0"/>
              <w:snapToGrid w:val="0"/>
              <w:jc w:val="center"/>
              <w:rPr>
                <w:rFonts w:eastAsia="仿宋"/>
                <w:position w:val="6"/>
              </w:rPr>
            </w:pPr>
            <w:r>
              <w:rPr>
                <w:rFonts w:eastAsia="仿宋"/>
                <w:position w:val="6"/>
              </w:rPr>
              <w:t>生活污水</w:t>
            </w:r>
          </w:p>
        </w:tc>
        <w:tc>
          <w:tcPr>
            <w:tcW w:w="3328" w:type="pct"/>
            <w:noWrap/>
            <w:vAlign w:val="center"/>
          </w:tcPr>
          <w:p>
            <w:pPr>
              <w:adjustRightInd w:val="0"/>
              <w:snapToGrid w:val="0"/>
              <w:jc w:val="left"/>
              <w:rPr>
                <w:rFonts w:eastAsia="仿宋"/>
                <w:position w:val="6"/>
              </w:rPr>
            </w:pPr>
            <w:r>
              <w:rPr>
                <w:rFonts w:eastAsia="仿宋"/>
                <w:position w:val="6"/>
              </w:rPr>
              <w:t>厂区共建有2座化粪池，生活污水经化粪池预处理后送污水处理站处理达标后排放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position w:val="6"/>
              </w:rPr>
              <w:t>噪声处理</w:t>
            </w:r>
          </w:p>
        </w:tc>
        <w:tc>
          <w:tcPr>
            <w:tcW w:w="3328" w:type="pct"/>
            <w:noWrap/>
            <w:vAlign w:val="center"/>
          </w:tcPr>
          <w:p>
            <w:pPr>
              <w:adjustRightInd w:val="0"/>
              <w:snapToGrid w:val="0"/>
              <w:jc w:val="left"/>
              <w:rPr>
                <w:rFonts w:eastAsia="仿宋"/>
                <w:position w:val="6"/>
              </w:rPr>
            </w:pPr>
            <w:r>
              <w:rPr>
                <w:rFonts w:eastAsia="仿宋"/>
                <w:position w:val="6"/>
              </w:rPr>
              <w:t>采用隔声、降噪措施进行治理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365" w:type="pct"/>
            <w:vMerge w:val="restart"/>
            <w:noWrap/>
            <w:vAlign w:val="center"/>
          </w:tcPr>
          <w:p>
            <w:pPr>
              <w:adjustRightInd w:val="0"/>
              <w:snapToGrid w:val="0"/>
              <w:jc w:val="center"/>
              <w:rPr>
                <w:rFonts w:eastAsia="仿宋"/>
                <w:position w:val="6"/>
              </w:rPr>
            </w:pPr>
            <w:r>
              <w:rPr>
                <w:rFonts w:eastAsia="仿宋"/>
                <w:position w:val="6"/>
              </w:rPr>
              <w:t>固废处理</w:t>
            </w:r>
          </w:p>
        </w:tc>
        <w:tc>
          <w:tcPr>
            <w:tcW w:w="636" w:type="pct"/>
            <w:noWrap/>
            <w:vAlign w:val="center"/>
          </w:tcPr>
          <w:p>
            <w:pPr>
              <w:adjustRightInd w:val="0"/>
              <w:snapToGrid w:val="0"/>
              <w:jc w:val="center"/>
              <w:rPr>
                <w:rFonts w:eastAsia="仿宋"/>
                <w:position w:val="6"/>
              </w:rPr>
            </w:pPr>
            <w:r>
              <w:rPr>
                <w:rFonts w:eastAsia="仿宋"/>
                <w:position w:val="6"/>
              </w:rPr>
              <w:t>塑料袋、包装桶</w:t>
            </w:r>
          </w:p>
        </w:tc>
        <w:tc>
          <w:tcPr>
            <w:tcW w:w="3328" w:type="pct"/>
            <w:noWrap/>
            <w:vAlign w:val="center"/>
          </w:tcPr>
          <w:p>
            <w:pPr>
              <w:adjustRightInd w:val="0"/>
              <w:snapToGrid w:val="0"/>
              <w:jc w:val="left"/>
              <w:rPr>
                <w:rFonts w:eastAsia="仿宋"/>
                <w:position w:val="6"/>
              </w:rPr>
            </w:pPr>
            <w:r>
              <w:rPr>
                <w:rFonts w:eastAsia="仿宋"/>
                <w:position w:val="6"/>
              </w:rPr>
              <w:t>临时堆存在丙类仓库内，销售给回收企业综合利用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365" w:type="pct"/>
            <w:vMerge w:val="continue"/>
            <w:noWrap/>
            <w:vAlign w:val="center"/>
          </w:tcPr>
          <w:p>
            <w:pPr>
              <w:adjustRightInd w:val="0"/>
              <w:snapToGrid w:val="0"/>
              <w:jc w:val="center"/>
              <w:rPr>
                <w:rFonts w:eastAsia="仿宋"/>
                <w:position w:val="6"/>
              </w:rPr>
            </w:pPr>
          </w:p>
        </w:tc>
        <w:tc>
          <w:tcPr>
            <w:tcW w:w="636" w:type="pct"/>
            <w:noWrap/>
            <w:vAlign w:val="center"/>
          </w:tcPr>
          <w:p>
            <w:pPr>
              <w:adjustRightInd w:val="0"/>
              <w:snapToGrid w:val="0"/>
              <w:jc w:val="center"/>
              <w:rPr>
                <w:rFonts w:eastAsia="仿宋"/>
                <w:position w:val="6"/>
              </w:rPr>
            </w:pPr>
            <w:r>
              <w:rPr>
                <w:rFonts w:eastAsia="仿宋"/>
                <w:position w:val="6"/>
              </w:rPr>
              <w:t>废机油</w:t>
            </w:r>
          </w:p>
        </w:tc>
        <w:tc>
          <w:tcPr>
            <w:tcW w:w="3328" w:type="pct"/>
            <w:vMerge w:val="restart"/>
            <w:noWrap/>
            <w:vAlign w:val="center"/>
          </w:tcPr>
          <w:p>
            <w:pPr>
              <w:adjustRightInd w:val="0"/>
              <w:snapToGrid w:val="0"/>
              <w:jc w:val="left"/>
              <w:rPr>
                <w:rFonts w:eastAsia="仿宋"/>
                <w:position w:val="6"/>
              </w:rPr>
            </w:pPr>
            <w:r>
              <w:rPr>
                <w:rFonts w:eastAsia="仿宋"/>
                <w:position w:val="6"/>
              </w:rPr>
              <w:t>在拟建甲类仓库内设置危废间（12 m×24 m）分类暂存，定期交具有相应危废处理资质的</w:t>
            </w:r>
            <w:r>
              <w:rPr>
                <w:rFonts w:eastAsia="仿宋"/>
                <w:bCs/>
                <w:position w:val="6"/>
              </w:rPr>
              <w:t>单位</w:t>
            </w:r>
            <w:r>
              <w:rPr>
                <w:rFonts w:eastAsia="仿宋"/>
                <w:position w:val="6"/>
              </w:rPr>
              <w:t>回收处置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365" w:type="pct"/>
            <w:vMerge w:val="continue"/>
            <w:noWrap/>
            <w:vAlign w:val="center"/>
          </w:tcPr>
          <w:p>
            <w:pPr>
              <w:adjustRightInd w:val="0"/>
              <w:snapToGrid w:val="0"/>
              <w:jc w:val="center"/>
              <w:rPr>
                <w:rFonts w:eastAsia="仿宋"/>
                <w:position w:val="6"/>
              </w:rPr>
            </w:pPr>
          </w:p>
        </w:tc>
        <w:tc>
          <w:tcPr>
            <w:tcW w:w="636" w:type="pct"/>
            <w:noWrap/>
            <w:vAlign w:val="center"/>
          </w:tcPr>
          <w:p>
            <w:pPr>
              <w:adjustRightInd w:val="0"/>
              <w:snapToGrid w:val="0"/>
              <w:jc w:val="center"/>
              <w:rPr>
                <w:rFonts w:eastAsia="仿宋"/>
                <w:position w:val="6"/>
              </w:rPr>
            </w:pPr>
            <w:r>
              <w:rPr>
                <w:rFonts w:eastAsia="仿宋"/>
                <w:position w:val="6"/>
              </w:rPr>
              <w:t>精馏残渣</w:t>
            </w:r>
          </w:p>
        </w:tc>
        <w:tc>
          <w:tcPr>
            <w:tcW w:w="3328" w:type="pct"/>
            <w:vMerge w:val="continue"/>
            <w:noWrap/>
            <w:vAlign w:val="center"/>
          </w:tcPr>
          <w:p>
            <w:pPr>
              <w:adjustRightInd w:val="0"/>
              <w:snapToGrid w:val="0"/>
              <w:jc w:val="left"/>
              <w:rPr>
                <w:rFonts w:eastAsia="仿宋"/>
                <w:position w:val="6"/>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365" w:type="pct"/>
            <w:vMerge w:val="continue"/>
            <w:noWrap/>
            <w:vAlign w:val="center"/>
          </w:tcPr>
          <w:p>
            <w:pPr>
              <w:adjustRightInd w:val="0"/>
              <w:snapToGrid w:val="0"/>
              <w:jc w:val="center"/>
              <w:rPr>
                <w:rFonts w:eastAsia="仿宋"/>
                <w:position w:val="6"/>
              </w:rPr>
            </w:pPr>
          </w:p>
        </w:tc>
        <w:tc>
          <w:tcPr>
            <w:tcW w:w="636" w:type="pct"/>
            <w:noWrap/>
            <w:vAlign w:val="center"/>
          </w:tcPr>
          <w:p>
            <w:pPr>
              <w:adjustRightInd w:val="0"/>
              <w:snapToGrid w:val="0"/>
              <w:ind w:left="-105" w:leftChars="-50" w:right="-105" w:rightChars="-50"/>
              <w:jc w:val="center"/>
              <w:rPr>
                <w:rFonts w:eastAsia="仿宋"/>
                <w:position w:val="6"/>
              </w:rPr>
            </w:pPr>
            <w:r>
              <w:rPr>
                <w:rFonts w:eastAsia="仿宋"/>
                <w:position w:val="6"/>
              </w:rPr>
              <w:t>废水处理沉渣</w:t>
            </w:r>
          </w:p>
        </w:tc>
        <w:tc>
          <w:tcPr>
            <w:tcW w:w="3328" w:type="pct"/>
            <w:noWrap/>
            <w:vAlign w:val="center"/>
          </w:tcPr>
          <w:p>
            <w:pPr>
              <w:adjustRightInd w:val="0"/>
              <w:snapToGrid w:val="0"/>
              <w:jc w:val="left"/>
              <w:rPr>
                <w:rFonts w:eastAsia="仿宋"/>
                <w:position w:val="6"/>
              </w:rPr>
            </w:pPr>
            <w:r>
              <w:rPr>
                <w:rFonts w:eastAsia="仿宋"/>
                <w:position w:val="6"/>
              </w:rPr>
              <w:t>送甲类仓库暂存，送建材企业综合利用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365" w:type="pct"/>
            <w:vMerge w:val="continue"/>
            <w:noWrap/>
            <w:vAlign w:val="center"/>
          </w:tcPr>
          <w:p>
            <w:pPr>
              <w:adjustRightInd w:val="0"/>
              <w:snapToGrid w:val="0"/>
              <w:jc w:val="center"/>
              <w:rPr>
                <w:rFonts w:eastAsia="仿宋"/>
                <w:position w:val="6"/>
              </w:rPr>
            </w:pPr>
          </w:p>
        </w:tc>
        <w:tc>
          <w:tcPr>
            <w:tcW w:w="636" w:type="pct"/>
            <w:noWrap/>
            <w:vAlign w:val="center"/>
          </w:tcPr>
          <w:p>
            <w:pPr>
              <w:adjustRightInd w:val="0"/>
              <w:snapToGrid w:val="0"/>
              <w:jc w:val="center"/>
              <w:rPr>
                <w:rFonts w:eastAsia="仿宋"/>
                <w:position w:val="6"/>
              </w:rPr>
            </w:pPr>
            <w:r>
              <w:rPr>
                <w:rFonts w:eastAsia="仿宋"/>
                <w:position w:val="6"/>
              </w:rPr>
              <w:t>生活垃圾</w:t>
            </w:r>
          </w:p>
        </w:tc>
        <w:tc>
          <w:tcPr>
            <w:tcW w:w="3328" w:type="pct"/>
            <w:noWrap/>
            <w:vAlign w:val="center"/>
          </w:tcPr>
          <w:p>
            <w:pPr>
              <w:adjustRightInd w:val="0"/>
              <w:snapToGrid w:val="0"/>
              <w:jc w:val="left"/>
              <w:rPr>
                <w:rFonts w:eastAsia="仿宋"/>
                <w:position w:val="6"/>
              </w:rPr>
            </w:pPr>
            <w:r>
              <w:rPr>
                <w:rFonts w:eastAsia="仿宋"/>
                <w:position w:val="6"/>
              </w:rPr>
              <w:t>设置垃圾桶，县环卫部门集中收运处置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rPr>
              <w:t>初期雨水池</w:t>
            </w:r>
          </w:p>
        </w:tc>
        <w:tc>
          <w:tcPr>
            <w:tcW w:w="3328" w:type="pct"/>
            <w:noWrap/>
            <w:vAlign w:val="center"/>
          </w:tcPr>
          <w:p>
            <w:pPr>
              <w:adjustRightInd w:val="0"/>
              <w:snapToGrid w:val="0"/>
              <w:jc w:val="left"/>
              <w:rPr>
                <w:rFonts w:eastAsia="仿宋"/>
                <w:position w:val="6"/>
              </w:rPr>
            </w:pPr>
            <w:r>
              <w:rPr>
                <w:rFonts w:eastAsia="仿宋"/>
                <w:lang w:val="zh-CN"/>
              </w:rPr>
              <w:t>初期雨水池一座，设计容积</w:t>
            </w:r>
            <w:r>
              <w:rPr>
                <w:rFonts w:eastAsia="仿宋"/>
              </w:rPr>
              <w:t>500</w:t>
            </w:r>
            <w:r>
              <w:rPr>
                <w:rFonts w:eastAsia="仿宋"/>
                <w:lang w:val="zh-CN"/>
              </w:rPr>
              <w:t xml:space="preserve"> m</w:t>
            </w:r>
            <w:r>
              <w:rPr>
                <w:rFonts w:eastAsia="仿宋"/>
                <w:vertAlign w:val="superscript"/>
                <w:lang w:val="zh-CN"/>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323" w:type="pct"/>
            <w:vMerge w:val="continue"/>
            <w:noWrap/>
            <w:vAlign w:val="center"/>
          </w:tcPr>
          <w:p>
            <w:pPr>
              <w:adjustRightInd w:val="0"/>
              <w:snapToGrid w:val="0"/>
              <w:jc w:val="center"/>
              <w:rPr>
                <w:rFonts w:eastAsia="仿宋"/>
                <w:position w:val="6"/>
              </w:rPr>
            </w:pPr>
          </w:p>
        </w:tc>
        <w:tc>
          <w:tcPr>
            <w:tcW w:w="347" w:type="pct"/>
            <w:vMerge w:val="continue"/>
            <w:noWrap/>
            <w:vAlign w:val="center"/>
          </w:tcPr>
          <w:p>
            <w:pPr>
              <w:adjustRightInd w:val="0"/>
              <w:snapToGrid w:val="0"/>
              <w:jc w:val="center"/>
              <w:rPr>
                <w:rFonts w:eastAsia="仿宋"/>
                <w:position w:val="6"/>
              </w:rPr>
            </w:pPr>
          </w:p>
        </w:tc>
        <w:tc>
          <w:tcPr>
            <w:tcW w:w="1001" w:type="pct"/>
            <w:gridSpan w:val="2"/>
            <w:noWrap/>
            <w:vAlign w:val="center"/>
          </w:tcPr>
          <w:p>
            <w:pPr>
              <w:adjustRightInd w:val="0"/>
              <w:snapToGrid w:val="0"/>
              <w:jc w:val="center"/>
              <w:rPr>
                <w:rFonts w:eastAsia="仿宋"/>
                <w:position w:val="6"/>
              </w:rPr>
            </w:pPr>
            <w:r>
              <w:rPr>
                <w:rFonts w:eastAsia="仿宋"/>
                <w:position w:val="6"/>
              </w:rPr>
              <w:t>事故水池</w:t>
            </w:r>
          </w:p>
        </w:tc>
        <w:tc>
          <w:tcPr>
            <w:tcW w:w="3328" w:type="pct"/>
            <w:noWrap/>
            <w:vAlign w:val="center"/>
          </w:tcPr>
          <w:p>
            <w:pPr>
              <w:adjustRightInd w:val="0"/>
              <w:snapToGrid w:val="0"/>
              <w:jc w:val="left"/>
              <w:rPr>
                <w:rFonts w:eastAsia="仿宋"/>
                <w:position w:val="6"/>
              </w:rPr>
            </w:pPr>
            <w:r>
              <w:rPr>
                <w:rFonts w:eastAsia="仿宋"/>
                <w:position w:val="6"/>
              </w:rPr>
              <w:t>1座，600 m</w:t>
            </w:r>
            <w:r>
              <w:rPr>
                <w:rFonts w:eastAsia="仿宋"/>
                <w:position w:val="6"/>
                <w:vertAlign w:val="superscript"/>
              </w:rPr>
              <w:t>3</w:t>
            </w:r>
          </w:p>
        </w:tc>
      </w:tr>
    </w:tbl>
    <w:p>
      <w:pPr>
        <w:pStyle w:val="8"/>
        <w:spacing w:line="520" w:lineRule="exact"/>
        <w:ind w:left="0" w:firstLine="0"/>
        <w:rPr>
          <w:rFonts w:eastAsia="仿宋_GB2312"/>
          <w:sz w:val="28"/>
          <w:szCs w:val="28"/>
        </w:rPr>
      </w:pPr>
      <w:r>
        <w:rPr>
          <w:rFonts w:hint="eastAsia" w:eastAsia="仿宋_GB2312"/>
          <w:sz w:val="28"/>
          <w:szCs w:val="28"/>
        </w:rPr>
        <w:t>总平面</w:t>
      </w:r>
      <w:r>
        <w:rPr>
          <w:rFonts w:eastAsia="仿宋_GB2312"/>
          <w:sz w:val="28"/>
          <w:szCs w:val="28"/>
        </w:rPr>
        <w:t>布置</w:t>
      </w:r>
    </w:p>
    <w:p>
      <w:pPr>
        <w:pStyle w:val="95"/>
        <w:spacing w:line="520" w:lineRule="exact"/>
        <w:ind w:firstLine="560"/>
        <w:jc w:val="both"/>
        <w:rPr>
          <w:rFonts w:eastAsia="仿宋"/>
          <w:bCs w:val="0"/>
          <w:sz w:val="28"/>
        </w:rPr>
      </w:pPr>
      <w:r>
        <w:rPr>
          <w:rFonts w:eastAsia="仿宋"/>
          <w:b w:val="0"/>
          <w:bCs w:val="0"/>
          <w:sz w:val="28"/>
          <w:lang w:val="en-US" w:eastAsia="zh-CN"/>
        </w:rPr>
        <w:t>项目用地面积</w:t>
      </w:r>
      <w:r>
        <w:rPr>
          <w:rFonts w:hint="eastAsia" w:eastAsia="仿宋"/>
          <w:b w:val="0"/>
          <w:bCs w:val="0"/>
          <w:sz w:val="28"/>
          <w:lang w:val="en-US" w:eastAsia="zh-CN"/>
        </w:rPr>
        <w:t xml:space="preserve">5686.26 </w:t>
      </w:r>
      <w:r>
        <w:rPr>
          <w:rFonts w:eastAsia="仿宋"/>
          <w:b w:val="0"/>
          <w:bCs w:val="0"/>
          <w:sz w:val="28"/>
          <w:lang w:val="en-US" w:eastAsia="zh-CN"/>
        </w:rPr>
        <w:t>m</w:t>
      </w:r>
      <w:r>
        <w:rPr>
          <w:rFonts w:eastAsia="仿宋"/>
          <w:b w:val="0"/>
          <w:bCs w:val="0"/>
          <w:sz w:val="28"/>
          <w:vertAlign w:val="superscript"/>
          <w:lang w:val="en-US" w:eastAsia="zh-CN"/>
        </w:rPr>
        <w:t>2</w:t>
      </w:r>
      <w:r>
        <w:rPr>
          <w:rFonts w:eastAsia="仿宋"/>
          <w:b w:val="0"/>
          <w:bCs w:val="0"/>
          <w:sz w:val="28"/>
          <w:lang w:val="en-US" w:eastAsia="zh-CN"/>
        </w:rPr>
        <w:t>。总平面布置按照功能分为办公区、生产装置区、辅助生产区、储罐和仓储区、三废处理区等五大功能区。</w:t>
      </w:r>
    </w:p>
    <w:p>
      <w:pPr>
        <w:pStyle w:val="95"/>
        <w:spacing w:line="520" w:lineRule="exact"/>
        <w:ind w:firstLine="560"/>
        <w:jc w:val="both"/>
        <w:rPr>
          <w:rFonts w:eastAsia="仿宋"/>
          <w:bCs w:val="0"/>
          <w:sz w:val="28"/>
        </w:rPr>
      </w:pPr>
      <w:r>
        <w:rPr>
          <w:rFonts w:hint="eastAsia" w:eastAsia="仿宋"/>
          <w:b w:val="0"/>
          <w:bCs w:val="0"/>
          <w:sz w:val="28"/>
          <w:lang w:val="en-US" w:eastAsia="zh-CN"/>
        </w:rPr>
        <w:t>厂区平面布置按照建设地地区总体规划的要求，合理和节约用地，建、构筑物的布置力求紧凑合理，并尽可能采用联合厂房；厂区按生产功能分区，将厂区划分为辅助工房、机房区、水池区、仓库、生产车间、储罐区和环保设施区，并合理确定各功能区的外形和面积，在满足工艺生产通畅的前提下，缩短固体物料的运距；按工艺流程，把合成、后处理依次布置，且把原料及成品库房布置在厂区主要货运道路旁，有利于原料运进及成品的运出，变压器室布置在距厂外供电线路附近，厂内出线也方便；厂区行政中心与厂内外联系密切，布置在厂区人流出入口处；厂区平面布置在满足防火、防爆及卫生等安全防护要求前提下，重视环境卫生，考虑物的朝向和主导风向，布局合理。</w:t>
      </w:r>
    </w:p>
    <w:p>
      <w:pPr>
        <w:pStyle w:val="8"/>
        <w:spacing w:line="520" w:lineRule="exact"/>
        <w:ind w:left="0" w:firstLine="0"/>
        <w:rPr>
          <w:rFonts w:eastAsia="仿宋_GB2312"/>
          <w:sz w:val="28"/>
          <w:szCs w:val="28"/>
        </w:rPr>
      </w:pPr>
      <w:r>
        <w:rPr>
          <w:rFonts w:hint="eastAsia" w:eastAsia="仿宋_GB2312"/>
          <w:sz w:val="28"/>
          <w:szCs w:val="28"/>
        </w:rPr>
        <w:t>竖向布置</w:t>
      </w:r>
    </w:p>
    <w:p>
      <w:pPr>
        <w:pStyle w:val="95"/>
        <w:spacing w:line="520" w:lineRule="exact"/>
        <w:ind w:firstLine="560"/>
        <w:jc w:val="both"/>
        <w:rPr>
          <w:b w:val="0"/>
          <w:bCs/>
          <w:sz w:val="28"/>
          <w:szCs w:val="28"/>
        </w:rPr>
      </w:pPr>
      <w:r>
        <w:rPr>
          <w:rFonts w:hint="eastAsia"/>
          <w:b w:val="0"/>
          <w:bCs/>
          <w:sz w:val="28"/>
          <w:szCs w:val="28"/>
        </w:rPr>
        <w:t>（1）布置原则：符合总体规划要求，充分利用地形，因地制宜，尽量节约土方，合理确定厂区内的排水方式。</w:t>
      </w:r>
    </w:p>
    <w:p>
      <w:pPr>
        <w:pStyle w:val="95"/>
        <w:spacing w:line="520" w:lineRule="exact"/>
        <w:ind w:firstLine="560"/>
        <w:jc w:val="both"/>
        <w:rPr>
          <w:b w:val="0"/>
          <w:bCs/>
          <w:sz w:val="28"/>
          <w:szCs w:val="28"/>
        </w:rPr>
      </w:pPr>
      <w:r>
        <w:rPr>
          <w:rFonts w:hint="eastAsia"/>
          <w:b w:val="0"/>
          <w:bCs/>
          <w:sz w:val="28"/>
          <w:szCs w:val="28"/>
        </w:rPr>
        <w:t>（2）布置方案</w:t>
      </w:r>
    </w:p>
    <w:p>
      <w:pPr>
        <w:pStyle w:val="95"/>
        <w:spacing w:line="520" w:lineRule="exact"/>
        <w:ind w:firstLine="560"/>
        <w:jc w:val="both"/>
        <w:rPr>
          <w:b w:val="0"/>
          <w:bCs/>
          <w:sz w:val="28"/>
          <w:szCs w:val="28"/>
        </w:rPr>
      </w:pPr>
      <w:r>
        <w:rPr>
          <w:rFonts w:hint="eastAsia"/>
          <w:b w:val="0"/>
          <w:bCs/>
          <w:sz w:val="28"/>
          <w:szCs w:val="28"/>
        </w:rPr>
        <w:t>厂区标高的确定：拟建装置场地的地坪标高根据厂区自然标高及产业园区地坪标高设计。厂区高程起伏不大，竖向设计形式采用平坡式。</w:t>
      </w:r>
    </w:p>
    <w:p>
      <w:pPr>
        <w:pStyle w:val="95"/>
        <w:spacing w:line="520" w:lineRule="exact"/>
        <w:ind w:firstLine="560"/>
        <w:jc w:val="both"/>
        <w:rPr>
          <w:b w:val="0"/>
          <w:bCs/>
          <w:sz w:val="28"/>
          <w:szCs w:val="28"/>
        </w:rPr>
      </w:pPr>
      <w:r>
        <w:rPr>
          <w:rFonts w:hint="eastAsia"/>
          <w:b w:val="0"/>
          <w:bCs/>
          <w:sz w:val="28"/>
          <w:szCs w:val="28"/>
        </w:rPr>
        <w:t>排水：根据生产和厂区排水系统特点，装置区主要采用管道排水方式。雨水与污水分流，本工程拟建厂区的产生的清净排水及后期雨水可直接排入所属区的雨水、净下水管网，产生的污水及前期雨水经厂内污水处理站处理达标后，排入产业园区管网。</w:t>
      </w:r>
    </w:p>
    <w:bookmarkEnd w:id="19"/>
    <w:bookmarkEnd w:id="20"/>
    <w:bookmarkEnd w:id="21"/>
    <w:bookmarkEnd w:id="22"/>
    <w:p>
      <w:pPr>
        <w:pStyle w:val="8"/>
        <w:spacing w:line="520" w:lineRule="exact"/>
        <w:ind w:left="0" w:firstLine="0"/>
        <w:rPr>
          <w:rFonts w:eastAsia="仿宋_GB2312"/>
          <w:sz w:val="28"/>
          <w:szCs w:val="28"/>
        </w:rPr>
      </w:pPr>
      <w:r>
        <w:rPr>
          <w:rFonts w:eastAsia="仿宋_GB2312"/>
        </w:rPr>
        <w:t>产品和产量</w:t>
      </w:r>
    </w:p>
    <w:p>
      <w:pPr>
        <w:spacing w:line="520" w:lineRule="exact"/>
        <w:ind w:firstLine="560" w:firstLineChars="200"/>
        <w:rPr>
          <w:rFonts w:eastAsia="仿宋"/>
          <w:kern w:val="44"/>
          <w:sz w:val="28"/>
          <w:szCs w:val="44"/>
        </w:rPr>
      </w:pPr>
      <w:r>
        <w:rPr>
          <w:rFonts w:eastAsia="仿宋"/>
          <w:kern w:val="44"/>
          <w:sz w:val="28"/>
          <w:szCs w:val="44"/>
        </w:rPr>
        <w:t>湖北航欧新材料科技有限公司现有装置产品方案见表2.1-3。</w:t>
      </w:r>
    </w:p>
    <w:p>
      <w:pPr>
        <w:pStyle w:val="32"/>
        <w:spacing w:line="240" w:lineRule="auto"/>
        <w:rPr>
          <w:rFonts w:eastAsia="仿宋"/>
          <w:b w:val="0"/>
          <w:bCs w:val="0"/>
          <w:snapToGrid/>
          <w:kern w:val="2"/>
          <w:sz w:val="28"/>
          <w:szCs w:val="28"/>
        </w:rPr>
      </w:pPr>
      <w:r>
        <w:rPr>
          <w:rFonts w:eastAsia="仿宋"/>
          <w:b w:val="0"/>
          <w:bCs w:val="0"/>
          <w:snapToGrid/>
          <w:kern w:val="2"/>
          <w:sz w:val="28"/>
          <w:szCs w:val="28"/>
        </w:rPr>
        <w:t>表</w:t>
      </w:r>
      <w:r>
        <w:rPr>
          <w:rFonts w:eastAsia="仿宋"/>
          <w:b w:val="0"/>
          <w:bCs w:val="0"/>
          <w:snapToGrid/>
          <w:kern w:val="2"/>
          <w:sz w:val="28"/>
          <w:szCs w:val="28"/>
          <w:lang w:val="en-US" w:eastAsia="zh-CN"/>
        </w:rPr>
        <w:t>2.1-3</w:t>
      </w:r>
      <w:r>
        <w:rPr>
          <w:rFonts w:eastAsia="仿宋"/>
          <w:b w:val="0"/>
          <w:bCs w:val="0"/>
          <w:snapToGrid/>
          <w:kern w:val="2"/>
          <w:sz w:val="28"/>
          <w:szCs w:val="28"/>
        </w:rPr>
        <w:t xml:space="preserve">  产品数量及用途</w:t>
      </w:r>
    </w:p>
    <w:tbl>
      <w:tblPr>
        <w:tblStyle w:val="35"/>
        <w:tblW w:w="5010"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521"/>
        <w:gridCol w:w="3708"/>
        <w:gridCol w:w="2042"/>
        <w:gridCol w:w="205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3" w:type="pct"/>
            <w:tcBorders>
              <w:tl2br w:val="nil"/>
              <w:tr2bl w:val="nil"/>
            </w:tcBorders>
            <w:noWrap/>
            <w:vAlign w:val="center"/>
          </w:tcPr>
          <w:p>
            <w:pPr>
              <w:jc w:val="center"/>
              <w:rPr>
                <w:rFonts w:eastAsia="仿宋_GB2312"/>
                <w:b/>
                <w:bCs/>
              </w:rPr>
            </w:pPr>
            <w:r>
              <w:rPr>
                <w:rFonts w:eastAsia="仿宋_GB2312"/>
                <w:b/>
                <w:bCs/>
              </w:rPr>
              <w:t>序号</w:t>
            </w:r>
          </w:p>
        </w:tc>
        <w:tc>
          <w:tcPr>
            <w:tcW w:w="2227" w:type="pct"/>
            <w:tcBorders>
              <w:tl2br w:val="nil"/>
              <w:tr2bl w:val="nil"/>
            </w:tcBorders>
            <w:noWrap/>
            <w:vAlign w:val="center"/>
          </w:tcPr>
          <w:p>
            <w:pPr>
              <w:jc w:val="center"/>
              <w:rPr>
                <w:rFonts w:eastAsia="仿宋_GB2312"/>
                <w:b/>
                <w:bCs/>
              </w:rPr>
            </w:pPr>
            <w:r>
              <w:rPr>
                <w:rFonts w:hint="eastAsia" w:eastAsia="仿宋_GB2312"/>
                <w:b/>
                <w:bCs/>
              </w:rPr>
              <w:t xml:space="preserve">产品 </w:t>
            </w:r>
          </w:p>
        </w:tc>
        <w:tc>
          <w:tcPr>
            <w:tcW w:w="1226" w:type="pct"/>
            <w:tcBorders>
              <w:tl2br w:val="nil"/>
              <w:tr2bl w:val="nil"/>
            </w:tcBorders>
            <w:noWrap/>
            <w:vAlign w:val="center"/>
          </w:tcPr>
          <w:p>
            <w:pPr>
              <w:jc w:val="center"/>
              <w:rPr>
                <w:rFonts w:eastAsia="仿宋_GB2312"/>
                <w:b/>
                <w:bCs/>
              </w:rPr>
            </w:pPr>
            <w:r>
              <w:rPr>
                <w:rFonts w:hint="eastAsia" w:eastAsia="仿宋_GB2312"/>
                <w:b/>
                <w:bCs/>
              </w:rPr>
              <w:t>生产规模（t/a）</w:t>
            </w:r>
          </w:p>
        </w:tc>
        <w:tc>
          <w:tcPr>
            <w:tcW w:w="1232" w:type="pct"/>
            <w:tcBorders>
              <w:tl2br w:val="nil"/>
              <w:tr2bl w:val="nil"/>
            </w:tcBorders>
            <w:noWrap/>
            <w:vAlign w:val="center"/>
          </w:tcPr>
          <w:p>
            <w:pPr>
              <w:jc w:val="center"/>
              <w:rPr>
                <w:rFonts w:eastAsia="仿宋_GB2312"/>
                <w:b/>
                <w:bCs/>
              </w:rPr>
            </w:pPr>
            <w:r>
              <w:rPr>
                <w:rFonts w:hint="eastAsia" w:eastAsia="仿宋_GB2312"/>
                <w:b/>
                <w:bCs/>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3" w:type="pct"/>
            <w:tcBorders>
              <w:tl2br w:val="nil"/>
              <w:tr2bl w:val="nil"/>
            </w:tcBorders>
            <w:noWrap/>
            <w:vAlign w:val="center"/>
          </w:tcPr>
          <w:p>
            <w:pPr>
              <w:jc w:val="center"/>
              <w:rPr>
                <w:rFonts w:eastAsia="仿宋_GB2312"/>
              </w:rPr>
            </w:pPr>
            <w:r>
              <w:rPr>
                <w:rFonts w:hint="eastAsia" w:eastAsia="仿宋_GB2312"/>
              </w:rPr>
              <w:t>1</w:t>
            </w:r>
          </w:p>
        </w:tc>
        <w:tc>
          <w:tcPr>
            <w:tcW w:w="2227" w:type="pct"/>
            <w:tcBorders>
              <w:tl2br w:val="nil"/>
              <w:tr2bl w:val="nil"/>
            </w:tcBorders>
            <w:noWrap/>
            <w:vAlign w:val="center"/>
          </w:tcPr>
          <w:p>
            <w:pPr>
              <w:jc w:val="center"/>
              <w:rPr>
                <w:rFonts w:eastAsia="仿宋_GB2312"/>
              </w:rPr>
            </w:pPr>
            <w:r>
              <w:rPr>
                <w:rFonts w:hint="eastAsia" w:eastAsia="仿宋_GB2312"/>
              </w:rPr>
              <w:t>电子级五氯化磷</w:t>
            </w:r>
          </w:p>
        </w:tc>
        <w:tc>
          <w:tcPr>
            <w:tcW w:w="1226" w:type="pct"/>
            <w:tcBorders>
              <w:tl2br w:val="nil"/>
              <w:tr2bl w:val="nil"/>
            </w:tcBorders>
            <w:noWrap/>
            <w:vAlign w:val="center"/>
          </w:tcPr>
          <w:p>
            <w:pPr>
              <w:jc w:val="center"/>
              <w:rPr>
                <w:rFonts w:eastAsia="仿宋_GB2312"/>
              </w:rPr>
            </w:pPr>
            <w:r>
              <w:rPr>
                <w:rFonts w:eastAsia="仿宋_GB2312"/>
              </w:rPr>
              <w:fldChar w:fldCharType="begin"/>
            </w:r>
            <w:r>
              <w:rPr>
                <w:rFonts w:eastAsia="仿宋_GB2312"/>
              </w:rPr>
              <w:instrText xml:space="preserve"> =SUM(LEFT) </w:instrText>
            </w:r>
            <w:r>
              <w:rPr>
                <w:rFonts w:eastAsia="仿宋_GB2312"/>
              </w:rPr>
              <w:fldChar w:fldCharType="separate"/>
            </w:r>
            <w:r>
              <w:rPr>
                <w:rFonts w:eastAsia="仿宋_GB2312"/>
              </w:rPr>
              <w:t>20000</w:t>
            </w:r>
            <w:r>
              <w:rPr>
                <w:rFonts w:eastAsia="仿宋_GB2312"/>
              </w:rPr>
              <w:fldChar w:fldCharType="end"/>
            </w:r>
          </w:p>
        </w:tc>
        <w:tc>
          <w:tcPr>
            <w:tcW w:w="1232" w:type="pct"/>
            <w:tcBorders>
              <w:tl2br w:val="nil"/>
              <w:tr2bl w:val="nil"/>
            </w:tcBorders>
            <w:noWrap/>
            <w:vAlign w:val="center"/>
          </w:tcPr>
          <w:p>
            <w:pPr>
              <w:jc w:val="center"/>
              <w:rPr>
                <w:rFonts w:eastAsia="仿宋_GB2312"/>
              </w:rPr>
            </w:pPr>
            <w:r>
              <w:rPr>
                <w:rFonts w:hint="eastAsia" w:eastAsia="仿宋_GB2312"/>
              </w:rPr>
              <w:t>外售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3" w:type="pct"/>
            <w:tcBorders>
              <w:tl2br w:val="nil"/>
              <w:tr2bl w:val="nil"/>
            </w:tcBorders>
            <w:noWrap/>
            <w:vAlign w:val="center"/>
          </w:tcPr>
          <w:p>
            <w:pPr>
              <w:jc w:val="center"/>
              <w:rPr>
                <w:rFonts w:eastAsia="仿宋_GB2312"/>
              </w:rPr>
            </w:pPr>
            <w:r>
              <w:rPr>
                <w:rFonts w:hint="eastAsia" w:eastAsia="仿宋_GB2312"/>
              </w:rPr>
              <w:t>2</w:t>
            </w:r>
          </w:p>
        </w:tc>
        <w:tc>
          <w:tcPr>
            <w:tcW w:w="2227" w:type="pct"/>
            <w:tcBorders>
              <w:tl2br w:val="nil"/>
              <w:tr2bl w:val="nil"/>
            </w:tcBorders>
            <w:noWrap/>
            <w:vAlign w:val="center"/>
          </w:tcPr>
          <w:p>
            <w:pPr>
              <w:jc w:val="center"/>
              <w:rPr>
                <w:rFonts w:eastAsia="仿宋_GB2312"/>
              </w:rPr>
            </w:pPr>
            <w:r>
              <w:rPr>
                <w:rFonts w:hint="eastAsia" w:eastAsia="仿宋_GB2312"/>
              </w:rPr>
              <w:t>工业盐酸</w:t>
            </w:r>
          </w:p>
        </w:tc>
        <w:tc>
          <w:tcPr>
            <w:tcW w:w="1226" w:type="pct"/>
            <w:tcBorders>
              <w:tl2br w:val="nil"/>
              <w:tr2bl w:val="nil"/>
            </w:tcBorders>
            <w:noWrap/>
            <w:vAlign w:val="center"/>
          </w:tcPr>
          <w:p>
            <w:pPr>
              <w:jc w:val="center"/>
              <w:rPr>
                <w:rFonts w:eastAsia="仿宋_GB2312"/>
              </w:rPr>
            </w:pPr>
            <w:r>
              <w:rPr>
                <w:rFonts w:hint="eastAsia" w:eastAsia="仿宋_GB2312"/>
              </w:rPr>
              <w:t>1581</w:t>
            </w:r>
          </w:p>
        </w:tc>
        <w:tc>
          <w:tcPr>
            <w:tcW w:w="1232" w:type="pct"/>
            <w:tcBorders>
              <w:tl2br w:val="nil"/>
              <w:tr2bl w:val="nil"/>
            </w:tcBorders>
            <w:noWrap/>
            <w:vAlign w:val="center"/>
          </w:tcPr>
          <w:p>
            <w:pPr>
              <w:jc w:val="center"/>
              <w:rPr>
                <w:rFonts w:eastAsia="仿宋_GB2312"/>
              </w:rPr>
            </w:pPr>
            <w:r>
              <w:rPr>
                <w:rFonts w:hint="eastAsia" w:eastAsia="仿宋_GB2312"/>
              </w:rPr>
              <w:t>外售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313" w:type="pct"/>
            <w:tcBorders>
              <w:tl2br w:val="nil"/>
              <w:tr2bl w:val="nil"/>
            </w:tcBorders>
            <w:noWrap/>
            <w:vAlign w:val="center"/>
          </w:tcPr>
          <w:p>
            <w:pPr>
              <w:jc w:val="center"/>
              <w:rPr>
                <w:rFonts w:eastAsia="仿宋_GB2312"/>
              </w:rPr>
            </w:pPr>
            <w:r>
              <w:rPr>
                <w:rFonts w:hint="eastAsia" w:eastAsia="仿宋_GB2312"/>
              </w:rPr>
              <w:t>3</w:t>
            </w:r>
          </w:p>
        </w:tc>
        <w:tc>
          <w:tcPr>
            <w:tcW w:w="2227" w:type="pct"/>
            <w:tcBorders>
              <w:tl2br w:val="nil"/>
              <w:tr2bl w:val="nil"/>
            </w:tcBorders>
            <w:noWrap/>
            <w:vAlign w:val="center"/>
          </w:tcPr>
          <w:p>
            <w:pPr>
              <w:jc w:val="center"/>
              <w:rPr>
                <w:rFonts w:eastAsia="仿宋_GB2312"/>
              </w:rPr>
            </w:pPr>
            <w:r>
              <w:rPr>
                <w:rFonts w:hint="eastAsia" w:eastAsia="仿宋_GB2312"/>
              </w:rPr>
              <w:t>磷酸钙</w:t>
            </w:r>
          </w:p>
        </w:tc>
        <w:tc>
          <w:tcPr>
            <w:tcW w:w="1226" w:type="pct"/>
            <w:tcBorders>
              <w:tl2br w:val="nil"/>
              <w:tr2bl w:val="nil"/>
            </w:tcBorders>
            <w:noWrap/>
            <w:vAlign w:val="center"/>
          </w:tcPr>
          <w:p>
            <w:pPr>
              <w:jc w:val="center"/>
              <w:rPr>
                <w:rFonts w:eastAsia="仿宋_GB2312"/>
              </w:rPr>
            </w:pPr>
            <w:r>
              <w:rPr>
                <w:rFonts w:hint="eastAsia" w:eastAsia="仿宋_GB2312"/>
              </w:rPr>
              <w:t>1079.5</w:t>
            </w:r>
          </w:p>
        </w:tc>
        <w:tc>
          <w:tcPr>
            <w:tcW w:w="1232" w:type="pct"/>
            <w:tcBorders>
              <w:tl2br w:val="nil"/>
              <w:tr2bl w:val="nil"/>
            </w:tcBorders>
            <w:noWrap/>
            <w:vAlign w:val="center"/>
          </w:tcPr>
          <w:p>
            <w:pPr>
              <w:jc w:val="center"/>
              <w:rPr>
                <w:rFonts w:eastAsia="仿宋_GB2312"/>
              </w:rPr>
            </w:pPr>
            <w:r>
              <w:rPr>
                <w:rFonts w:hint="eastAsia" w:eastAsia="仿宋_GB2312"/>
              </w:rPr>
              <w:t>外售</w:t>
            </w:r>
          </w:p>
        </w:tc>
      </w:tr>
    </w:tbl>
    <w:p>
      <w:pPr>
        <w:pStyle w:val="8"/>
        <w:spacing w:line="520" w:lineRule="exact"/>
        <w:ind w:left="0" w:firstLine="0"/>
        <w:rPr>
          <w:rFonts w:eastAsia="仿宋_GB2312"/>
        </w:rPr>
      </w:pPr>
      <w:bookmarkStart w:id="23" w:name="_Toc309332453"/>
      <w:bookmarkStart w:id="24" w:name="_Toc347478189"/>
      <w:bookmarkStart w:id="25" w:name="_Toc245528701"/>
      <w:bookmarkStart w:id="26" w:name="_Toc205976342"/>
      <w:bookmarkStart w:id="27" w:name="_Toc17163"/>
      <w:r>
        <w:rPr>
          <w:rFonts w:eastAsia="仿宋_GB2312"/>
        </w:rPr>
        <w:t>自然环境概况</w:t>
      </w:r>
    </w:p>
    <w:p>
      <w:pPr>
        <w:pStyle w:val="9"/>
        <w:spacing w:before="0" w:after="0" w:line="520" w:lineRule="exact"/>
        <w:ind w:left="0" w:firstLine="0"/>
        <w:rPr>
          <w:rFonts w:eastAsia="仿宋_GB2312"/>
        </w:rPr>
      </w:pPr>
      <w:r>
        <w:rPr>
          <w:rFonts w:hint="eastAsia" w:eastAsia="仿宋_GB2312"/>
          <w:lang w:eastAsia="zh-CN"/>
        </w:rPr>
        <w:t>地理位置</w:t>
      </w:r>
    </w:p>
    <w:p>
      <w:pPr>
        <w:pStyle w:val="95"/>
        <w:spacing w:line="520" w:lineRule="exact"/>
        <w:ind w:firstLine="560"/>
        <w:jc w:val="both"/>
        <w:rPr>
          <w:bCs w:val="0"/>
          <w:sz w:val="28"/>
          <w:szCs w:val="28"/>
        </w:rPr>
      </w:pPr>
      <w:r>
        <w:rPr>
          <w:rFonts w:hint="eastAsia"/>
          <w:b w:val="0"/>
          <w:bCs w:val="0"/>
          <w:sz w:val="28"/>
          <w:szCs w:val="28"/>
          <w:lang w:eastAsia="zh-CN"/>
        </w:rPr>
        <w:t>宜昌市位于湖北省西部，长江上游与中游分界处，地理坐标为东经110°15′～112°04′，北纬 29°56′～31°34′之间，东接荆州，北邻襄阳和神农架，南及西北毗邻湘西和鄂西自治州，西与川东部分地区相接。现辖远安、兴山、长阳、五峰、秭归五个县，宜都、枝江、当阳三个县级市，夷陵、西陵、伍家岗、点军、猇亭区五个市辖区。</w:t>
      </w:r>
    </w:p>
    <w:p>
      <w:pPr>
        <w:pStyle w:val="95"/>
        <w:spacing w:line="520" w:lineRule="exact"/>
        <w:ind w:firstLine="560"/>
        <w:jc w:val="both"/>
        <w:rPr>
          <w:bCs w:val="0"/>
          <w:sz w:val="28"/>
          <w:szCs w:val="28"/>
        </w:rPr>
      </w:pPr>
      <w:r>
        <w:rPr>
          <w:rFonts w:hint="eastAsia"/>
          <w:b w:val="0"/>
          <w:bCs w:val="0"/>
          <w:sz w:val="28"/>
          <w:szCs w:val="28"/>
          <w:lang w:eastAsia="zh-CN"/>
        </w:rPr>
        <w:t>项目位于</w:t>
      </w:r>
      <w:bookmarkStart w:id="28" w:name="_Hlk71317805"/>
      <w:r>
        <w:rPr>
          <w:rFonts w:hint="eastAsia"/>
          <w:b w:val="0"/>
          <w:bCs w:val="0"/>
          <w:sz w:val="28"/>
          <w:szCs w:val="28"/>
          <w:lang w:eastAsia="zh-CN"/>
        </w:rPr>
        <w:t>远安航天动力材料产业园（江北片区）</w:t>
      </w:r>
      <w:bookmarkEnd w:id="28"/>
      <w:r>
        <w:rPr>
          <w:rFonts w:hint="eastAsia"/>
          <w:b w:val="0"/>
          <w:bCs w:val="0"/>
          <w:sz w:val="28"/>
          <w:szCs w:val="28"/>
          <w:lang w:eastAsia="zh-CN"/>
        </w:rPr>
        <w:t>，南距远安县城区10 km，水陆交通十分方便。</w:t>
      </w:r>
    </w:p>
    <w:p>
      <w:pPr>
        <w:pStyle w:val="9"/>
        <w:spacing w:before="0" w:after="0" w:line="520" w:lineRule="exact"/>
        <w:ind w:left="0" w:firstLine="0"/>
        <w:rPr>
          <w:rFonts w:eastAsia="仿宋_GB2312"/>
        </w:rPr>
      </w:pPr>
      <w:r>
        <w:rPr>
          <w:rFonts w:hint="eastAsia" w:eastAsia="仿宋_GB2312"/>
          <w:lang w:val="en-US" w:eastAsia="zh-CN"/>
        </w:rPr>
        <w:t>地形地貌</w:t>
      </w:r>
    </w:p>
    <w:p>
      <w:pPr>
        <w:pStyle w:val="95"/>
        <w:spacing w:line="520" w:lineRule="exact"/>
        <w:ind w:firstLine="560"/>
        <w:jc w:val="both"/>
        <w:rPr>
          <w:bCs w:val="0"/>
          <w:sz w:val="28"/>
          <w:szCs w:val="28"/>
        </w:rPr>
      </w:pPr>
      <w:r>
        <w:rPr>
          <w:rFonts w:hint="eastAsia"/>
          <w:b w:val="0"/>
          <w:bCs w:val="0"/>
          <w:sz w:val="28"/>
          <w:szCs w:val="28"/>
          <w:lang w:eastAsia="zh-CN"/>
        </w:rPr>
        <w:t>远安县地处鄂西山地荆山南麓，地势地貌复杂多样。境内地势西北高、东南低，高山、低山、丘陵、平贩、水面兼而有之。全县以沮河为界分为沮西山地、沮中平原、沮东丘陵三大区域。</w:t>
      </w:r>
    </w:p>
    <w:p>
      <w:pPr>
        <w:pStyle w:val="95"/>
        <w:spacing w:line="520" w:lineRule="exact"/>
        <w:ind w:firstLine="560"/>
        <w:jc w:val="both"/>
        <w:rPr>
          <w:bCs w:val="0"/>
          <w:sz w:val="28"/>
          <w:szCs w:val="28"/>
        </w:rPr>
      </w:pPr>
      <w:r>
        <w:rPr>
          <w:rFonts w:hint="eastAsia"/>
          <w:b w:val="0"/>
          <w:bCs w:val="0"/>
          <w:sz w:val="28"/>
          <w:szCs w:val="28"/>
          <w:lang w:eastAsia="zh-CN"/>
        </w:rPr>
        <w:t>沮西山地位于沮河以西县域西部，包括整个荷花镇及花林寺、旧县、洋坪等镇的部分山区乡村，共有国土面积675平方公里，占全县总面积的39%。本区为浅切割中、低山区，地域辽阔，自然资源丰富。分布有以马尾松和栓皮栎为主的用材林及以梨子、柿子、核桃、板栗为主的经济林，还有发展食用菌、木耳的栎类和多种杂灌。地下矿产资源丰富。</w:t>
      </w:r>
    </w:p>
    <w:p>
      <w:pPr>
        <w:pStyle w:val="95"/>
        <w:spacing w:line="520" w:lineRule="exact"/>
        <w:ind w:firstLine="560"/>
        <w:jc w:val="both"/>
        <w:rPr>
          <w:bCs w:val="0"/>
          <w:sz w:val="28"/>
          <w:szCs w:val="28"/>
        </w:rPr>
      </w:pPr>
      <w:r>
        <w:rPr>
          <w:rFonts w:hint="eastAsia"/>
          <w:b w:val="0"/>
          <w:bCs w:val="0"/>
          <w:sz w:val="28"/>
          <w:szCs w:val="28"/>
          <w:lang w:eastAsia="zh-CN"/>
        </w:rPr>
        <w:t>沮中平原位于沮河沿岸县域中部，包括鸣凤镇全部及花林寺、旧县、洋坪等镇的沮河沿岸乡村，共409平方公里，占全县总面积的23%。本区为低山丘陵、河谷区，多丘岗、河畔、冲垄相间的波状平眨，地势平坦，土层深厚，土质肥沃，灌溉方便，是远安的粮棉油集中产区。</w:t>
      </w:r>
    </w:p>
    <w:p>
      <w:pPr>
        <w:pStyle w:val="95"/>
        <w:spacing w:line="520" w:lineRule="exact"/>
        <w:ind w:firstLine="560"/>
        <w:jc w:val="both"/>
        <w:rPr>
          <w:bCs w:val="0"/>
          <w:sz w:val="28"/>
          <w:szCs w:val="28"/>
        </w:rPr>
      </w:pPr>
      <w:r>
        <w:rPr>
          <w:rFonts w:hint="eastAsia"/>
          <w:b w:val="0"/>
          <w:bCs w:val="0"/>
          <w:sz w:val="28"/>
          <w:szCs w:val="28"/>
          <w:lang w:eastAsia="zh-CN"/>
        </w:rPr>
        <w:t>沮东丘陵位于沮河以东县域东部，包括茅坪场、河口两个镇，共665平方公里，占全县总面积的38%。本区为低山丘陵区，丘陵起伏，缓坡、宽谷、冲垄相间，岗顶浑圆，为远安的东部水稻、小麦主产区。</w:t>
      </w:r>
    </w:p>
    <w:p>
      <w:pPr>
        <w:pStyle w:val="95"/>
        <w:spacing w:line="520" w:lineRule="exact"/>
        <w:ind w:firstLine="560"/>
        <w:jc w:val="both"/>
        <w:rPr>
          <w:bCs w:val="0"/>
          <w:sz w:val="28"/>
          <w:szCs w:val="28"/>
        </w:rPr>
      </w:pPr>
      <w:r>
        <w:rPr>
          <w:rFonts w:hint="eastAsia"/>
          <w:b w:val="0"/>
          <w:bCs w:val="0"/>
          <w:sz w:val="28"/>
          <w:szCs w:val="28"/>
          <w:lang w:eastAsia="zh-CN"/>
        </w:rPr>
        <w:t>湖北航欧新材料科技有限公司厂区属侵蚀、剥蚀低山与河流冲洪积平地过渡带，经人工改造后，形成了阶梯状的地形，由三级台地组成，第一级台阶标高约159.00 m左右，第二级台阶标高约164.50 m左右，第三级台阶标高约173.50 m左右。拟建场地最高标高181 m，最低标高171 m，最大高差10 m，台阶之间相差5.50~9.00 m。</w:t>
      </w:r>
    </w:p>
    <w:p>
      <w:pPr>
        <w:pStyle w:val="9"/>
        <w:spacing w:before="0" w:after="0" w:line="520" w:lineRule="exact"/>
        <w:ind w:left="0" w:firstLine="0"/>
        <w:rPr>
          <w:rFonts w:eastAsia="仿宋_GB2312"/>
        </w:rPr>
      </w:pPr>
      <w:bookmarkStart w:id="29" w:name="_Toc3462"/>
      <w:r>
        <w:rPr>
          <w:rFonts w:hint="eastAsia" w:eastAsia="仿宋_GB2312"/>
          <w:lang w:val="en-US" w:eastAsia="zh-CN"/>
        </w:rPr>
        <w:t>地质地震</w:t>
      </w:r>
      <w:bookmarkEnd w:id="29"/>
    </w:p>
    <w:p>
      <w:pPr>
        <w:pStyle w:val="95"/>
        <w:spacing w:line="520" w:lineRule="exact"/>
        <w:ind w:firstLine="560"/>
        <w:jc w:val="both"/>
        <w:rPr>
          <w:bCs w:val="0"/>
          <w:sz w:val="28"/>
          <w:szCs w:val="28"/>
        </w:rPr>
      </w:pPr>
      <w:r>
        <w:rPr>
          <w:rFonts w:hint="eastAsia"/>
          <w:b w:val="0"/>
          <w:bCs w:val="0"/>
          <w:sz w:val="28"/>
          <w:szCs w:val="28"/>
          <w:lang w:eastAsia="zh-CN"/>
        </w:rPr>
        <w:t>远安县大部分地区属第四条全新式统冲—洪积、湖积、冲积而成。1~1.25 m深一般为新近堆积土、填土、粉土、粉细砂、粉质粘土等，地耐力一般为80~120 KN/m</w:t>
      </w:r>
      <w:r>
        <w:rPr>
          <w:rFonts w:hint="eastAsia"/>
          <w:b w:val="0"/>
          <w:bCs w:val="0"/>
          <w:sz w:val="28"/>
          <w:szCs w:val="28"/>
          <w:vertAlign w:val="superscript"/>
          <w:lang w:eastAsia="zh-CN"/>
        </w:rPr>
        <w:t>2</w:t>
      </w:r>
      <w:r>
        <w:rPr>
          <w:rFonts w:hint="eastAsia"/>
          <w:b w:val="0"/>
          <w:bCs w:val="0"/>
          <w:sz w:val="28"/>
          <w:szCs w:val="28"/>
          <w:lang w:eastAsia="zh-CN"/>
        </w:rPr>
        <w:t>左右，2.5~8 m深入一般为淤泥质土，有时夹有粘土、老粘土，20 m以下为老粘土、粉质粘土、粉砂、细砂、中砂、粗砂、卵石层等，地耐力一般为120~650 KN/m</w:t>
      </w:r>
      <w:r>
        <w:rPr>
          <w:rFonts w:hint="eastAsia"/>
          <w:b w:val="0"/>
          <w:bCs w:val="0"/>
          <w:sz w:val="28"/>
          <w:szCs w:val="28"/>
          <w:vertAlign w:val="superscript"/>
          <w:lang w:eastAsia="zh-CN"/>
        </w:rPr>
        <w:t>2</w:t>
      </w:r>
      <w:r>
        <w:rPr>
          <w:rFonts w:hint="eastAsia"/>
          <w:b w:val="0"/>
          <w:bCs w:val="0"/>
          <w:sz w:val="28"/>
          <w:szCs w:val="28"/>
          <w:lang w:eastAsia="zh-CN"/>
        </w:rPr>
        <w:t>，远安地区地质条件较好。</w:t>
      </w:r>
    </w:p>
    <w:p>
      <w:pPr>
        <w:pStyle w:val="95"/>
        <w:spacing w:line="520" w:lineRule="exact"/>
        <w:ind w:firstLine="560"/>
        <w:jc w:val="both"/>
        <w:rPr>
          <w:bCs w:val="0"/>
          <w:sz w:val="28"/>
          <w:szCs w:val="28"/>
        </w:rPr>
      </w:pPr>
      <w:r>
        <w:rPr>
          <w:rFonts w:hint="eastAsia"/>
          <w:b w:val="0"/>
          <w:bCs w:val="0"/>
          <w:sz w:val="28"/>
          <w:szCs w:val="28"/>
          <w:lang w:eastAsia="zh-CN"/>
        </w:rPr>
        <w:t>湖北航欧新材料科技有限公司厂区地层由第四系覆盖层和基岩两部分组成。第四系覆盖层最大厚度约18.50 m，从上至下分别为杂填土（Q</w:t>
      </w:r>
      <w:r>
        <w:rPr>
          <w:rFonts w:hint="eastAsia"/>
          <w:b w:val="0"/>
          <w:bCs w:val="0"/>
          <w:sz w:val="28"/>
          <w:szCs w:val="28"/>
          <w:vertAlign w:val="superscript"/>
          <w:lang w:eastAsia="zh-CN"/>
        </w:rPr>
        <w:t>ml</w:t>
      </w:r>
      <w:r>
        <w:rPr>
          <w:rFonts w:hint="eastAsia"/>
          <w:b w:val="0"/>
          <w:bCs w:val="0"/>
          <w:sz w:val="28"/>
          <w:szCs w:val="28"/>
          <w:lang w:eastAsia="zh-CN"/>
        </w:rPr>
        <w:t>）、残坡积粉质粘土（Q</w:t>
      </w:r>
      <w:r>
        <w:rPr>
          <w:rFonts w:hint="eastAsia"/>
          <w:b w:val="0"/>
          <w:bCs w:val="0"/>
          <w:sz w:val="28"/>
          <w:szCs w:val="28"/>
          <w:vertAlign w:val="subscript"/>
          <w:lang w:eastAsia="zh-CN"/>
        </w:rPr>
        <w:t>4</w:t>
      </w:r>
      <w:r>
        <w:rPr>
          <w:rFonts w:hint="eastAsia"/>
          <w:b w:val="0"/>
          <w:bCs w:val="0"/>
          <w:sz w:val="28"/>
          <w:szCs w:val="28"/>
          <w:vertAlign w:val="superscript"/>
          <w:lang w:eastAsia="zh-CN"/>
        </w:rPr>
        <w:t>el+dl</w:t>
      </w:r>
      <w:r>
        <w:rPr>
          <w:rFonts w:hint="eastAsia"/>
          <w:b w:val="0"/>
          <w:bCs w:val="0"/>
          <w:sz w:val="28"/>
          <w:szCs w:val="28"/>
          <w:lang w:eastAsia="zh-CN"/>
        </w:rPr>
        <w:t>）、冲洪积卵石（Q</w:t>
      </w:r>
      <w:r>
        <w:rPr>
          <w:rFonts w:hint="eastAsia"/>
          <w:b w:val="0"/>
          <w:bCs w:val="0"/>
          <w:sz w:val="28"/>
          <w:szCs w:val="28"/>
          <w:vertAlign w:val="subscript"/>
          <w:lang w:eastAsia="zh-CN"/>
        </w:rPr>
        <w:t>4</w:t>
      </w:r>
      <w:r>
        <w:rPr>
          <w:rFonts w:hint="eastAsia"/>
          <w:b w:val="0"/>
          <w:bCs w:val="0"/>
          <w:sz w:val="28"/>
          <w:szCs w:val="28"/>
          <w:vertAlign w:val="superscript"/>
          <w:lang w:eastAsia="zh-CN"/>
        </w:rPr>
        <w:t>pl</w:t>
      </w:r>
      <w:r>
        <w:rPr>
          <w:rFonts w:hint="eastAsia"/>
          <w:b w:val="0"/>
          <w:bCs w:val="0"/>
          <w:sz w:val="28"/>
          <w:szCs w:val="28"/>
          <w:lang w:eastAsia="zh-CN"/>
        </w:rPr>
        <w:t>）；基岩为白垩系中统红花套组（K</w:t>
      </w:r>
      <w:r>
        <w:rPr>
          <w:rFonts w:hint="eastAsia"/>
          <w:b w:val="0"/>
          <w:bCs w:val="0"/>
          <w:sz w:val="28"/>
          <w:szCs w:val="28"/>
          <w:vertAlign w:val="subscript"/>
          <w:lang w:eastAsia="zh-CN"/>
        </w:rPr>
        <w:t>2h</w:t>
      </w:r>
      <w:r>
        <w:rPr>
          <w:rFonts w:hint="eastAsia"/>
          <w:b w:val="0"/>
          <w:bCs w:val="0"/>
          <w:sz w:val="28"/>
          <w:szCs w:val="28"/>
          <w:lang w:eastAsia="zh-CN"/>
        </w:rPr>
        <w:t>），岩性为泥质粉砂岩，局部夹紫红色薄层泥岩及粉砂岩。中厚层状构造，总体厚度大于500 m。地层倾向东~近东，倾角40°~45°。</w:t>
      </w:r>
    </w:p>
    <w:p>
      <w:pPr>
        <w:pStyle w:val="95"/>
        <w:spacing w:line="520" w:lineRule="exact"/>
        <w:ind w:firstLine="560"/>
        <w:jc w:val="both"/>
        <w:rPr>
          <w:bCs w:val="0"/>
          <w:sz w:val="28"/>
          <w:szCs w:val="28"/>
        </w:rPr>
      </w:pPr>
      <w:r>
        <w:rPr>
          <w:rFonts w:hint="eastAsia"/>
          <w:b w:val="0"/>
          <w:bCs w:val="0"/>
          <w:sz w:val="28"/>
          <w:szCs w:val="28"/>
          <w:lang w:eastAsia="zh-CN"/>
        </w:rPr>
        <w:t>湖北航欧新材料科技有限公司厂区位处远安地堑的西南侧，场内基岩为一套碎屑类沉积岩建造。第四纪以来，地震活动较活跃，但以弱震为主。区域内发震断裂主要为仙女山断裂和远安断裂，但震级均小于6级。湖北航欧新材料科技有限公司厂区东侧为远安断裂，距拟建场地约10公里；其西侧为通城河断裂，距拟建场地约15公里。勘察场地正好位于两断裂之间，未发现断裂通过，属构造活动相对较弱地段。</w:t>
      </w:r>
    </w:p>
    <w:p>
      <w:pPr>
        <w:pStyle w:val="9"/>
        <w:spacing w:before="0" w:after="0" w:line="520" w:lineRule="exact"/>
        <w:ind w:left="0" w:firstLine="0"/>
        <w:rPr>
          <w:rFonts w:eastAsia="仿宋_GB2312"/>
        </w:rPr>
      </w:pPr>
      <w:bookmarkStart w:id="30" w:name="_Toc20866"/>
      <w:r>
        <w:rPr>
          <w:rFonts w:hint="eastAsia" w:eastAsia="仿宋_GB2312"/>
          <w:lang w:val="en-US" w:eastAsia="zh-CN"/>
        </w:rPr>
        <w:t>岩层特征</w:t>
      </w:r>
      <w:bookmarkEnd w:id="30"/>
    </w:p>
    <w:p>
      <w:pPr>
        <w:autoSpaceDE w:val="0"/>
        <w:autoSpaceDN w:val="0"/>
        <w:spacing w:line="520" w:lineRule="exact"/>
        <w:ind w:firstLine="560" w:firstLineChars="200"/>
        <w:rPr>
          <w:rFonts w:eastAsia="仿宋"/>
          <w:sz w:val="28"/>
          <w:szCs w:val="28"/>
        </w:rPr>
      </w:pPr>
      <w:r>
        <w:rPr>
          <w:rFonts w:eastAsia="仿宋"/>
          <w:sz w:val="28"/>
          <w:szCs w:val="28"/>
        </w:rPr>
        <w:t>场地内岩土层按成因、成份、结构构造及物理力学性质的不同，自上而下分为4层。各岩土层的特征分别为：</w:t>
      </w:r>
    </w:p>
    <w:p>
      <w:pPr>
        <w:autoSpaceDE w:val="0"/>
        <w:autoSpaceDN w:val="0"/>
        <w:spacing w:line="520" w:lineRule="exact"/>
        <w:ind w:firstLine="560" w:firstLineChars="200"/>
        <w:rPr>
          <w:rFonts w:eastAsia="仿宋"/>
          <w:sz w:val="28"/>
          <w:szCs w:val="28"/>
        </w:rPr>
      </w:pPr>
      <w:r>
        <w:rPr>
          <w:rFonts w:eastAsia="仿宋"/>
          <w:sz w:val="28"/>
          <w:szCs w:val="28"/>
        </w:rPr>
        <w:t>第1层：杂填土（Q</w:t>
      </w:r>
      <w:r>
        <w:rPr>
          <w:rFonts w:eastAsia="仿宋"/>
          <w:sz w:val="28"/>
          <w:szCs w:val="28"/>
          <w:vertAlign w:val="superscript"/>
        </w:rPr>
        <w:t>ml</w:t>
      </w:r>
      <w:r>
        <w:rPr>
          <w:rFonts w:eastAsia="仿宋"/>
          <w:sz w:val="28"/>
          <w:szCs w:val="28"/>
        </w:rPr>
        <w:t>）</w:t>
      </w:r>
    </w:p>
    <w:p>
      <w:pPr>
        <w:autoSpaceDE w:val="0"/>
        <w:autoSpaceDN w:val="0"/>
        <w:spacing w:line="520" w:lineRule="exact"/>
        <w:ind w:firstLine="560" w:firstLineChars="200"/>
        <w:rPr>
          <w:rFonts w:eastAsia="仿宋"/>
          <w:sz w:val="28"/>
          <w:szCs w:val="28"/>
        </w:rPr>
      </w:pPr>
      <w:r>
        <w:rPr>
          <w:rFonts w:eastAsia="仿宋"/>
          <w:sz w:val="28"/>
          <w:szCs w:val="28"/>
        </w:rPr>
        <w:t>场区成品库房地段缺失。厚度0~18.50 m，灰、灰黄、褐红色，主要由粘性土、粉细砂岩碎块及卵砾石等组成，骨架含量约30~45%，局部地段夹块石，含量约5~10%，直径一般20~80 cm；局部地段含砖块、砼等少量建筑垃圾和生活垃圾，土体稍湿，结构松散。主要分布在（生产区）场地的东、南、西三侧的边缘地段。</w:t>
      </w:r>
    </w:p>
    <w:p>
      <w:pPr>
        <w:autoSpaceDE w:val="0"/>
        <w:autoSpaceDN w:val="0"/>
        <w:spacing w:line="520" w:lineRule="exact"/>
        <w:ind w:firstLine="560" w:firstLineChars="200"/>
        <w:rPr>
          <w:rFonts w:eastAsia="仿宋"/>
          <w:sz w:val="28"/>
          <w:szCs w:val="28"/>
        </w:rPr>
      </w:pPr>
      <w:r>
        <w:rPr>
          <w:rFonts w:eastAsia="仿宋"/>
          <w:sz w:val="28"/>
          <w:szCs w:val="28"/>
        </w:rPr>
        <w:t>第2层：粉质粘土（Q</w:t>
      </w:r>
      <w:r>
        <w:rPr>
          <w:rFonts w:eastAsia="仿宋"/>
          <w:sz w:val="28"/>
          <w:szCs w:val="28"/>
          <w:vertAlign w:val="subscript"/>
        </w:rPr>
        <w:t>4</w:t>
      </w:r>
      <w:r>
        <w:rPr>
          <w:rFonts w:eastAsia="仿宋"/>
          <w:sz w:val="28"/>
          <w:szCs w:val="28"/>
          <w:vertAlign w:val="superscript"/>
        </w:rPr>
        <w:t>el+dl</w:t>
      </w:r>
      <w:r>
        <w:rPr>
          <w:rFonts w:eastAsia="仿宋"/>
          <w:sz w:val="28"/>
          <w:szCs w:val="28"/>
        </w:rPr>
        <w:t>）</w:t>
      </w:r>
    </w:p>
    <w:p>
      <w:pPr>
        <w:autoSpaceDE w:val="0"/>
        <w:autoSpaceDN w:val="0"/>
        <w:spacing w:line="520" w:lineRule="exact"/>
        <w:ind w:firstLine="560" w:firstLineChars="200"/>
        <w:rPr>
          <w:rFonts w:eastAsia="仿宋"/>
          <w:sz w:val="28"/>
          <w:szCs w:val="28"/>
        </w:rPr>
      </w:pPr>
      <w:r>
        <w:rPr>
          <w:rFonts w:eastAsia="仿宋"/>
          <w:sz w:val="28"/>
          <w:szCs w:val="28"/>
        </w:rPr>
        <w:t>场内仅成品库房地段分布，层厚0~5.50 m，埋深0~2.30 m。红褐~黄褐色，稍湿~湿，硬塑，局部含铁锰质结核及高岭土条带，刀切面较光滑，无摇振反应，干强度及韧性中等。</w:t>
      </w:r>
    </w:p>
    <w:p>
      <w:pPr>
        <w:autoSpaceDE w:val="0"/>
        <w:autoSpaceDN w:val="0"/>
        <w:spacing w:line="520" w:lineRule="exact"/>
        <w:ind w:firstLine="560" w:firstLineChars="200"/>
        <w:rPr>
          <w:rFonts w:eastAsia="仿宋"/>
          <w:sz w:val="28"/>
          <w:szCs w:val="28"/>
        </w:rPr>
      </w:pPr>
      <w:r>
        <w:rPr>
          <w:rFonts w:eastAsia="仿宋"/>
          <w:sz w:val="28"/>
          <w:szCs w:val="28"/>
        </w:rPr>
        <w:t>第3层：卵石（Q</w:t>
      </w:r>
      <w:r>
        <w:rPr>
          <w:rFonts w:eastAsia="仿宋"/>
          <w:sz w:val="28"/>
          <w:szCs w:val="28"/>
          <w:vertAlign w:val="subscript"/>
        </w:rPr>
        <w:t>4</w:t>
      </w:r>
      <w:r>
        <w:rPr>
          <w:rFonts w:eastAsia="仿宋"/>
          <w:sz w:val="28"/>
          <w:szCs w:val="28"/>
          <w:vertAlign w:val="superscript"/>
        </w:rPr>
        <w:t>pl</w:t>
      </w:r>
      <w:r>
        <w:rPr>
          <w:rFonts w:eastAsia="仿宋"/>
          <w:sz w:val="28"/>
          <w:szCs w:val="28"/>
        </w:rPr>
        <w:t>）</w:t>
      </w:r>
    </w:p>
    <w:p>
      <w:pPr>
        <w:autoSpaceDE w:val="0"/>
        <w:autoSpaceDN w:val="0"/>
        <w:spacing w:line="520" w:lineRule="exact"/>
        <w:ind w:firstLine="560" w:firstLineChars="200"/>
        <w:rPr>
          <w:rFonts w:eastAsia="仿宋"/>
          <w:sz w:val="28"/>
          <w:szCs w:val="28"/>
        </w:rPr>
      </w:pPr>
      <w:r>
        <w:rPr>
          <w:rFonts w:eastAsia="仿宋"/>
          <w:sz w:val="28"/>
          <w:szCs w:val="28"/>
        </w:rPr>
        <w:t>场内主要分布于拟建成品库房地段分布，厚度0~7.10 m，埋深0~6.80 m。灰色，卵石含量50~60%，直径一般2~13 cm；漂石含量5~10%，直径一般20~40 cm。成份为石英岩等，外形以亚圆形为主，呈微风化状，交错排列，大部分接触。充填物为粘性土和细、中砂全充填。总体呈稍密状，局部呈中密状。</w:t>
      </w:r>
    </w:p>
    <w:p>
      <w:pPr>
        <w:autoSpaceDE w:val="0"/>
        <w:autoSpaceDN w:val="0"/>
        <w:spacing w:line="520" w:lineRule="exact"/>
        <w:ind w:firstLine="560" w:firstLineChars="200"/>
        <w:rPr>
          <w:rFonts w:eastAsia="仿宋"/>
          <w:sz w:val="28"/>
          <w:szCs w:val="28"/>
        </w:rPr>
      </w:pPr>
      <w:r>
        <w:rPr>
          <w:rFonts w:eastAsia="仿宋"/>
          <w:sz w:val="28"/>
          <w:szCs w:val="28"/>
        </w:rPr>
        <w:t>第4层：基岩</w:t>
      </w:r>
    </w:p>
    <w:p>
      <w:pPr>
        <w:autoSpaceDE w:val="0"/>
        <w:autoSpaceDN w:val="0"/>
        <w:spacing w:line="520" w:lineRule="exact"/>
        <w:ind w:firstLine="560" w:firstLineChars="200"/>
        <w:rPr>
          <w:rFonts w:eastAsia="仿宋"/>
          <w:sz w:val="28"/>
          <w:szCs w:val="28"/>
        </w:rPr>
      </w:pPr>
      <w:r>
        <w:rPr>
          <w:rFonts w:eastAsia="仿宋"/>
          <w:sz w:val="28"/>
          <w:szCs w:val="28"/>
        </w:rPr>
        <w:t>该区基岩为白垩系中统红花套组（K</w:t>
      </w:r>
      <w:r>
        <w:rPr>
          <w:rFonts w:eastAsia="仿宋"/>
          <w:sz w:val="28"/>
          <w:szCs w:val="28"/>
          <w:vertAlign w:val="subscript"/>
        </w:rPr>
        <w:t>2h</w:t>
      </w:r>
      <w:r>
        <w:rPr>
          <w:rFonts w:eastAsia="仿宋"/>
          <w:sz w:val="28"/>
          <w:szCs w:val="28"/>
        </w:rPr>
        <w:t>）灰红色泥质粉砂岩、粉砂岩互层，局部夹薄层状泥岩。薄至中厚层状构造，层理较发育，单层厚一般在0.1~0.40 m。该类岩石抗风化能力较弱，属易风化岩类，暴露地表后易风化。地层厚度稳定（据区域地质资料厚度大于500米）。钻孔控制深度范围内，从上至下按其风化程度不同可划分为二个亚层：</w:t>
      </w:r>
    </w:p>
    <w:p>
      <w:pPr>
        <w:autoSpaceDE w:val="0"/>
        <w:autoSpaceDN w:val="0"/>
        <w:spacing w:line="520" w:lineRule="exact"/>
        <w:ind w:firstLine="560" w:firstLineChars="200"/>
        <w:rPr>
          <w:rFonts w:eastAsia="仿宋"/>
          <w:sz w:val="28"/>
          <w:szCs w:val="28"/>
        </w:rPr>
      </w:pPr>
      <w:r>
        <w:rPr>
          <w:rFonts w:eastAsia="仿宋"/>
          <w:sz w:val="28"/>
          <w:szCs w:val="28"/>
        </w:rPr>
        <w:t>第4-1层强风化泥质粉砂岩</w:t>
      </w:r>
    </w:p>
    <w:p>
      <w:pPr>
        <w:autoSpaceDE w:val="0"/>
        <w:autoSpaceDN w:val="0"/>
        <w:spacing w:line="520" w:lineRule="exact"/>
        <w:ind w:firstLine="560" w:firstLineChars="200"/>
        <w:rPr>
          <w:rFonts w:eastAsia="仿宋"/>
          <w:sz w:val="28"/>
          <w:szCs w:val="28"/>
        </w:rPr>
      </w:pPr>
      <w:r>
        <w:rPr>
          <w:rFonts w:eastAsia="仿宋"/>
          <w:sz w:val="28"/>
          <w:szCs w:val="28"/>
        </w:rPr>
        <w:t>埋深0~18.50 m，厚度0~4.60 m。灰及灰红色，原岩结构构造均已破坏，风化裂隙发育，部分矿物已风化成粘性土，质软，呈碎块及散状芯。</w:t>
      </w:r>
    </w:p>
    <w:p>
      <w:pPr>
        <w:autoSpaceDE w:val="0"/>
        <w:autoSpaceDN w:val="0"/>
        <w:spacing w:line="520" w:lineRule="exact"/>
        <w:ind w:firstLine="560" w:firstLineChars="200"/>
        <w:rPr>
          <w:rFonts w:eastAsia="仿宋"/>
          <w:sz w:val="28"/>
          <w:szCs w:val="28"/>
        </w:rPr>
      </w:pPr>
      <w:r>
        <w:rPr>
          <w:rFonts w:eastAsia="仿宋"/>
          <w:sz w:val="28"/>
          <w:szCs w:val="28"/>
        </w:rPr>
        <w:t>第4-2层中等风化泥质粉砂岩</w:t>
      </w:r>
    </w:p>
    <w:p>
      <w:pPr>
        <w:autoSpaceDE w:val="0"/>
        <w:autoSpaceDN w:val="0"/>
        <w:spacing w:line="520" w:lineRule="exact"/>
        <w:ind w:firstLine="560" w:firstLineChars="200"/>
        <w:rPr>
          <w:rFonts w:eastAsia="仿宋"/>
          <w:sz w:val="28"/>
          <w:szCs w:val="28"/>
        </w:rPr>
      </w:pPr>
      <w:r>
        <w:rPr>
          <w:rFonts w:eastAsia="仿宋"/>
          <w:sz w:val="28"/>
          <w:szCs w:val="28"/>
        </w:rPr>
        <w:t>厚度4.00~9.80 m，埋深0.50~20.00 m。灰、红及浅红色，原岩结构清晰，少量矿物有风化现象。局部夹紫红色薄层泥岩，泥岩夹层厚5~10 cm。由长石、石英及粘土矿物组成，中厚层构造，单层厚度一般0.10~0.40 m。泥、钙质胶结，胶结较好。裂隙弱发育，岩体较完整。岩芯呈柱状，锤击声哑，易击碎。粉砂岩具弱崩解性、无膨胀性；泥岩易崩解、具弱膨胀性。岩石坚硬程度属软岩，岩体较完整，岩体基本质量等级为Ⅳ类。</w:t>
      </w:r>
    </w:p>
    <w:p>
      <w:pPr>
        <w:pStyle w:val="9"/>
        <w:spacing w:before="0" w:after="0" w:line="520" w:lineRule="exact"/>
        <w:ind w:left="0" w:firstLine="0"/>
        <w:rPr>
          <w:rFonts w:eastAsia="仿宋_GB2312"/>
        </w:rPr>
      </w:pPr>
      <w:bookmarkStart w:id="31" w:name="_Toc7705"/>
      <w:r>
        <w:rPr>
          <w:rFonts w:hint="eastAsia" w:eastAsia="仿宋_GB2312"/>
          <w:lang w:val="en-US" w:eastAsia="zh-CN"/>
        </w:rPr>
        <w:t>气候气象</w:t>
      </w:r>
      <w:bookmarkEnd w:id="31"/>
    </w:p>
    <w:p>
      <w:pPr>
        <w:autoSpaceDE w:val="0"/>
        <w:autoSpaceDN w:val="0"/>
        <w:spacing w:line="520" w:lineRule="exact"/>
        <w:ind w:firstLine="560" w:firstLineChars="200"/>
        <w:rPr>
          <w:rFonts w:eastAsia="仿宋"/>
          <w:sz w:val="28"/>
          <w:szCs w:val="28"/>
        </w:rPr>
      </w:pPr>
      <w:r>
        <w:rPr>
          <w:rFonts w:hint="eastAsia" w:eastAsia="仿宋"/>
          <w:sz w:val="28"/>
          <w:szCs w:val="28"/>
        </w:rPr>
        <w:t>根据远安县气象局资料，远安属亚热带大陆性季风气候，处于中亚热带和北亚热带的交汇地带，具有较明显的四季分明的特点。极端最高气温</w:t>
      </w:r>
      <w:r>
        <w:rPr>
          <w:rFonts w:eastAsia="仿宋"/>
          <w:sz w:val="28"/>
          <w:szCs w:val="28"/>
        </w:rPr>
        <w:t>43℃</w:t>
      </w:r>
      <w:r>
        <w:rPr>
          <w:rFonts w:hint="eastAsia" w:eastAsia="仿宋"/>
          <w:sz w:val="28"/>
          <w:szCs w:val="28"/>
        </w:rPr>
        <w:t>，极端最低气温</w:t>
      </w:r>
      <w:r>
        <w:rPr>
          <w:rFonts w:eastAsia="仿宋"/>
          <w:sz w:val="28"/>
          <w:szCs w:val="28"/>
        </w:rPr>
        <w:t>-8℃</w:t>
      </w:r>
      <w:r>
        <w:rPr>
          <w:rFonts w:hint="eastAsia" w:eastAsia="仿宋"/>
          <w:sz w:val="28"/>
          <w:szCs w:val="28"/>
        </w:rPr>
        <w:t>，多年平均气温</w:t>
      </w:r>
      <w:r>
        <w:rPr>
          <w:rFonts w:eastAsia="仿宋"/>
          <w:sz w:val="28"/>
          <w:szCs w:val="28"/>
        </w:rPr>
        <w:t>18.8℃</w:t>
      </w:r>
      <w:r>
        <w:rPr>
          <w:rFonts w:hint="eastAsia" w:eastAsia="仿宋"/>
          <w:sz w:val="28"/>
          <w:szCs w:val="28"/>
        </w:rPr>
        <w:t>；县城内最大日降雨量为</w:t>
      </w:r>
      <w:r>
        <w:rPr>
          <w:rFonts w:eastAsia="仿宋"/>
          <w:sz w:val="28"/>
          <w:szCs w:val="28"/>
        </w:rPr>
        <w:t>226.1 mm</w:t>
      </w:r>
      <w:r>
        <w:rPr>
          <w:rFonts w:hint="eastAsia" w:eastAsia="仿宋"/>
          <w:sz w:val="28"/>
          <w:szCs w:val="28"/>
        </w:rPr>
        <w:t>，年平均降雨量为</w:t>
      </w:r>
      <w:r>
        <w:rPr>
          <w:rFonts w:eastAsia="仿宋"/>
          <w:sz w:val="28"/>
          <w:szCs w:val="28"/>
        </w:rPr>
        <w:t>1106 mm</w:t>
      </w:r>
      <w:r>
        <w:rPr>
          <w:rFonts w:hint="eastAsia" w:eastAsia="仿宋"/>
          <w:sz w:val="28"/>
          <w:szCs w:val="28"/>
        </w:rPr>
        <w:t>，降雨多集中在</w:t>
      </w:r>
      <w:r>
        <w:rPr>
          <w:rFonts w:eastAsia="仿宋"/>
          <w:sz w:val="28"/>
          <w:szCs w:val="28"/>
        </w:rPr>
        <w:t>7~8</w:t>
      </w:r>
      <w:r>
        <w:rPr>
          <w:rFonts w:hint="eastAsia" w:eastAsia="仿宋"/>
          <w:sz w:val="28"/>
          <w:szCs w:val="28"/>
        </w:rPr>
        <w:t>月份；最大积雪厚度</w:t>
      </w:r>
      <w:r>
        <w:rPr>
          <w:rFonts w:eastAsia="仿宋"/>
          <w:sz w:val="28"/>
          <w:szCs w:val="28"/>
        </w:rPr>
        <w:t>15 cm</w:t>
      </w:r>
      <w:r>
        <w:rPr>
          <w:rFonts w:hint="eastAsia" w:eastAsia="仿宋"/>
          <w:sz w:val="28"/>
          <w:szCs w:val="28"/>
        </w:rPr>
        <w:t>；平均相对湿度</w:t>
      </w:r>
      <w:r>
        <w:rPr>
          <w:rFonts w:eastAsia="仿宋"/>
          <w:sz w:val="28"/>
          <w:szCs w:val="28"/>
        </w:rPr>
        <w:t>77%</w:t>
      </w:r>
      <w:r>
        <w:rPr>
          <w:rFonts w:hint="eastAsia" w:eastAsia="仿宋"/>
          <w:sz w:val="28"/>
          <w:szCs w:val="28"/>
        </w:rPr>
        <w:t>；主导风向为</w:t>
      </w:r>
      <w:r>
        <w:rPr>
          <w:rFonts w:eastAsia="仿宋"/>
          <w:sz w:val="28"/>
          <w:szCs w:val="28"/>
        </w:rPr>
        <w:t>N、NW</w:t>
      </w:r>
      <w:r>
        <w:rPr>
          <w:rFonts w:hint="eastAsia" w:eastAsia="仿宋"/>
          <w:sz w:val="28"/>
          <w:szCs w:val="28"/>
        </w:rPr>
        <w:t>风，全年以静风为主，静风频率</w:t>
      </w:r>
      <w:r>
        <w:rPr>
          <w:rFonts w:eastAsia="仿宋"/>
          <w:sz w:val="28"/>
          <w:szCs w:val="28"/>
        </w:rPr>
        <w:t>31%</w:t>
      </w:r>
      <w:r>
        <w:rPr>
          <w:rFonts w:hint="eastAsia" w:eastAsia="仿宋"/>
          <w:sz w:val="28"/>
          <w:szCs w:val="28"/>
        </w:rPr>
        <w:t>，年平均风速</w:t>
      </w:r>
      <w:r>
        <w:rPr>
          <w:rFonts w:eastAsia="仿宋"/>
          <w:sz w:val="28"/>
          <w:szCs w:val="28"/>
        </w:rPr>
        <w:t>1.2 m/s</w:t>
      </w:r>
      <w:r>
        <w:rPr>
          <w:rFonts w:hint="eastAsia" w:eastAsia="仿宋"/>
          <w:sz w:val="28"/>
          <w:szCs w:val="28"/>
        </w:rPr>
        <w:t>，最大风速</w:t>
      </w:r>
      <w:r>
        <w:rPr>
          <w:rFonts w:eastAsia="仿宋"/>
          <w:sz w:val="28"/>
          <w:szCs w:val="28"/>
        </w:rPr>
        <w:t>18 m/s</w:t>
      </w:r>
      <w:r>
        <w:rPr>
          <w:rFonts w:hint="eastAsia" w:eastAsia="仿宋"/>
          <w:sz w:val="28"/>
          <w:szCs w:val="28"/>
        </w:rPr>
        <w:t>。</w:t>
      </w:r>
    </w:p>
    <w:p>
      <w:pPr>
        <w:pStyle w:val="9"/>
        <w:spacing w:before="0" w:after="0" w:line="520" w:lineRule="exact"/>
        <w:ind w:left="0" w:firstLine="0"/>
        <w:rPr>
          <w:rFonts w:eastAsia="仿宋_GB2312"/>
        </w:rPr>
      </w:pPr>
      <w:bookmarkStart w:id="32" w:name="_Toc4512"/>
      <w:r>
        <w:rPr>
          <w:rFonts w:hint="eastAsia" w:eastAsia="仿宋_GB2312"/>
          <w:lang w:val="en-US" w:eastAsia="zh-CN"/>
        </w:rPr>
        <w:t>水系水文</w:t>
      </w:r>
      <w:bookmarkEnd w:id="32"/>
    </w:p>
    <w:p>
      <w:pPr>
        <w:autoSpaceDE w:val="0"/>
        <w:autoSpaceDN w:val="0"/>
        <w:spacing w:line="520" w:lineRule="exact"/>
        <w:ind w:firstLine="560" w:firstLineChars="200"/>
        <w:rPr>
          <w:rFonts w:eastAsia="仿宋"/>
          <w:sz w:val="28"/>
          <w:szCs w:val="28"/>
        </w:rPr>
      </w:pPr>
      <w:r>
        <w:rPr>
          <w:rFonts w:hint="eastAsia" w:eastAsia="仿宋"/>
          <w:sz w:val="28"/>
          <w:szCs w:val="28"/>
        </w:rPr>
        <w:t>远安水系来源于外流过境客水和境内降雨径流。沮河、漳河、西河为县内三条较大水系，分别发源于保康、南漳和宜昌市的夷陵区，年径流量51.88 m</w:t>
      </w:r>
      <w:r>
        <w:rPr>
          <w:rFonts w:hint="eastAsia" w:eastAsia="仿宋"/>
          <w:sz w:val="28"/>
          <w:szCs w:val="28"/>
          <w:vertAlign w:val="superscript"/>
        </w:rPr>
        <w:t>3</w:t>
      </w:r>
      <w:r>
        <w:rPr>
          <w:rFonts w:hint="eastAsia" w:eastAsia="仿宋"/>
          <w:sz w:val="28"/>
          <w:szCs w:val="28"/>
        </w:rPr>
        <w:t>/s，发育，地表水资源比较丰富，多年平均径流深为384 mm，径流量17.43亿m</w:t>
      </w:r>
      <w:r>
        <w:rPr>
          <w:rFonts w:hint="eastAsia" w:eastAsia="仿宋"/>
          <w:sz w:val="28"/>
          <w:szCs w:val="28"/>
          <w:vertAlign w:val="superscript"/>
        </w:rPr>
        <w:t>3</w:t>
      </w:r>
      <w:r>
        <w:rPr>
          <w:rFonts w:hint="eastAsia" w:eastAsia="仿宋"/>
          <w:sz w:val="28"/>
          <w:szCs w:val="28"/>
        </w:rPr>
        <w:t>。</w:t>
      </w:r>
    </w:p>
    <w:p>
      <w:pPr>
        <w:autoSpaceDE w:val="0"/>
        <w:autoSpaceDN w:val="0"/>
        <w:spacing w:line="520" w:lineRule="exact"/>
        <w:ind w:firstLine="560" w:firstLineChars="200"/>
        <w:rPr>
          <w:bCs/>
          <w:sz w:val="28"/>
          <w:szCs w:val="28"/>
        </w:rPr>
      </w:pPr>
      <w:r>
        <w:rPr>
          <w:rFonts w:hint="eastAsia" w:eastAsia="仿宋"/>
          <w:sz w:val="28"/>
          <w:szCs w:val="28"/>
        </w:rPr>
        <w:t>沮河为拟建项目区域的主要地表水体。沮河远安县境内流程63 km，自然落差101 m，河床坡降16‰，平均宽度150 m。沮河属于无冰期季节性河流，夏秋水位高，冬春水位低。年均流量32.66 m</w:t>
      </w:r>
      <w:r>
        <w:rPr>
          <w:rFonts w:hint="eastAsia" w:eastAsia="仿宋"/>
          <w:sz w:val="28"/>
          <w:szCs w:val="28"/>
          <w:vertAlign w:val="superscript"/>
        </w:rPr>
        <w:t>3</w:t>
      </w:r>
      <w:r>
        <w:rPr>
          <w:rFonts w:hint="eastAsia" w:eastAsia="仿宋"/>
          <w:sz w:val="28"/>
          <w:szCs w:val="28"/>
        </w:rPr>
        <w:t>/s，年径流量10.32亿m</w:t>
      </w:r>
      <w:r>
        <w:rPr>
          <w:rFonts w:hint="eastAsia" w:eastAsia="仿宋"/>
          <w:sz w:val="28"/>
          <w:szCs w:val="28"/>
          <w:vertAlign w:val="superscript"/>
        </w:rPr>
        <w:t>3</w:t>
      </w:r>
      <w:r>
        <w:rPr>
          <w:rFonts w:hint="eastAsia" w:eastAsia="仿宋"/>
          <w:sz w:val="28"/>
          <w:szCs w:val="28"/>
        </w:rPr>
        <w:t>。沮河沿岸为冲积平畈，海拔150 m左右，两岸分布23条季节性小溪河。</w:t>
      </w:r>
    </w:p>
    <w:p>
      <w:pPr>
        <w:pStyle w:val="9"/>
        <w:spacing w:before="0" w:after="0" w:line="520" w:lineRule="exact"/>
        <w:ind w:left="0" w:firstLine="0"/>
        <w:rPr>
          <w:rFonts w:eastAsia="仿宋_GB2312"/>
        </w:rPr>
      </w:pPr>
      <w:bookmarkStart w:id="33" w:name="_Toc2241"/>
      <w:r>
        <w:rPr>
          <w:rFonts w:hint="eastAsia" w:eastAsia="仿宋_GB2312"/>
          <w:lang w:val="en-US" w:eastAsia="zh-CN"/>
        </w:rPr>
        <w:t>水文地质条件</w:t>
      </w:r>
      <w:bookmarkEnd w:id="33"/>
    </w:p>
    <w:p>
      <w:pPr>
        <w:autoSpaceDE w:val="0"/>
        <w:autoSpaceDN w:val="0"/>
        <w:spacing w:line="520" w:lineRule="exact"/>
        <w:ind w:firstLine="560" w:firstLineChars="200"/>
        <w:rPr>
          <w:rFonts w:eastAsia="仿宋"/>
          <w:sz w:val="28"/>
          <w:szCs w:val="28"/>
        </w:rPr>
      </w:pPr>
      <w:r>
        <w:rPr>
          <w:rFonts w:hint="eastAsia" w:eastAsia="仿宋"/>
          <w:sz w:val="28"/>
          <w:szCs w:val="28"/>
        </w:rPr>
        <w:t>各岩土层中：第1层杂填土：为透水层，不含水；第2层粉质粘土：为不透水，相对隔水层，不含水；第3层卵石：为透水层，不含水；第4层基岩：为不透水，相对隔水层。</w:t>
      </w:r>
    </w:p>
    <w:p>
      <w:pPr>
        <w:autoSpaceDE w:val="0"/>
        <w:autoSpaceDN w:val="0"/>
        <w:spacing w:line="520" w:lineRule="exact"/>
        <w:ind w:firstLine="560" w:firstLineChars="200"/>
        <w:rPr>
          <w:rFonts w:eastAsia="仿宋"/>
          <w:sz w:val="28"/>
          <w:szCs w:val="28"/>
        </w:rPr>
      </w:pPr>
      <w:r>
        <w:rPr>
          <w:rFonts w:hint="eastAsia" w:eastAsia="仿宋"/>
          <w:sz w:val="28"/>
          <w:szCs w:val="28"/>
        </w:rPr>
        <w:t>湖北航欧新材料科技有限公司厂区处于低山残丘地带，地势较高，有利于地表水及地下水排泄。勘察期间在各钻孔中进行简易水文观察结果，各孔均未见地下水。场内地下水文地质条件简单。</w:t>
      </w:r>
    </w:p>
    <w:p>
      <w:pPr>
        <w:pStyle w:val="9"/>
        <w:spacing w:before="0" w:after="0" w:line="520" w:lineRule="exact"/>
        <w:ind w:left="0" w:firstLine="0"/>
        <w:rPr>
          <w:rFonts w:eastAsia="仿宋_GB2312"/>
        </w:rPr>
      </w:pPr>
      <w:bookmarkStart w:id="34" w:name="_Toc31884"/>
      <w:r>
        <w:rPr>
          <w:rFonts w:hint="eastAsia" w:eastAsia="仿宋_GB2312"/>
          <w:lang w:val="en-US" w:eastAsia="zh-CN"/>
        </w:rPr>
        <w:t>生态环境</w:t>
      </w:r>
      <w:bookmarkEnd w:id="34"/>
    </w:p>
    <w:p>
      <w:pPr>
        <w:autoSpaceDE w:val="0"/>
        <w:autoSpaceDN w:val="0"/>
        <w:spacing w:line="520" w:lineRule="exact"/>
        <w:ind w:firstLine="560" w:firstLineChars="200"/>
        <w:rPr>
          <w:rFonts w:eastAsia="仿宋"/>
          <w:sz w:val="28"/>
          <w:szCs w:val="28"/>
        </w:rPr>
      </w:pPr>
      <w:r>
        <w:rPr>
          <w:rFonts w:hint="eastAsia" w:eastAsia="仿宋"/>
          <w:sz w:val="28"/>
          <w:szCs w:val="28"/>
        </w:rPr>
        <w:t>远安县总土地面积 262.8 万亩，其中山地201万亩、耕地18.7万亩（其中水田 12.8万亩）、内陆水域 8.8 万亩。全县耕地在海拔300 米以下的有10.7万亩，占耕地总面积的57.2%；海拔 300米至500米有3.4万亩，占18.2%；500至800米的有4.6 万亩，占24.6%；800 米以上有极少量坡地。按土壤质量综合评级，一级土壤占耕地总面积的24%，二级土壤占53%，无过酸过碱土壤。土壤有机质含量在2%以上占 89.6%。</w:t>
      </w:r>
    </w:p>
    <w:p>
      <w:pPr>
        <w:autoSpaceDE w:val="0"/>
        <w:autoSpaceDN w:val="0"/>
        <w:spacing w:line="520" w:lineRule="exact"/>
        <w:ind w:firstLine="560" w:firstLineChars="200"/>
        <w:rPr>
          <w:rFonts w:eastAsia="仿宋"/>
          <w:sz w:val="28"/>
          <w:szCs w:val="28"/>
        </w:rPr>
      </w:pPr>
      <w:r>
        <w:rPr>
          <w:rFonts w:hint="eastAsia" w:eastAsia="仿宋"/>
          <w:sz w:val="28"/>
          <w:szCs w:val="28"/>
        </w:rPr>
        <w:t>远安素有“林海”之称，全县森林面积 162 万亩，森林覆盖率达 71.4%，活立木蓄积量332万立方米，是湖北省主要产材县之一，主产红薄皮马尾松。1992年2月被省委、省政府授予“全省绿化达标第一县”称号。境内晓坪乡大堰村尚有小面积的原始森林，其余为天然次生植被及人工栽培植被，植物群落为针叶林和阔叶林混交，常绿树与落叶树共生，在分布上有一定的垂直分布规律和低于分布特点。海拔800 m以上的山区以落叶阔叶林和灌木丛林为主，零星小片分布着常绿针叶林；800 m以下的低山、丘陵及河谷平畈地区，以常绿针叶林、落叶混交林为主，杂有少量的常绿落叶群落，多为天然次生植被。全县现有林地面积2001672亩，占全县总面积76.16%。</w:t>
      </w:r>
    </w:p>
    <w:p>
      <w:pPr>
        <w:autoSpaceDE w:val="0"/>
        <w:autoSpaceDN w:val="0"/>
        <w:spacing w:line="520" w:lineRule="exact"/>
        <w:ind w:firstLine="560" w:firstLineChars="200"/>
        <w:rPr>
          <w:rFonts w:eastAsia="仿宋"/>
          <w:sz w:val="28"/>
          <w:szCs w:val="28"/>
        </w:rPr>
      </w:pPr>
      <w:r>
        <w:rPr>
          <w:rFonts w:hint="eastAsia" w:eastAsia="仿宋"/>
          <w:sz w:val="28"/>
          <w:szCs w:val="28"/>
        </w:rPr>
        <w:t>据调查，评价范围内无重点风景名胜及自然景观等环境保护敏感点，无特别需要保护的生物物种。</w:t>
      </w:r>
    </w:p>
    <w:bookmarkEnd w:id="23"/>
    <w:bookmarkEnd w:id="24"/>
    <w:bookmarkEnd w:id="25"/>
    <w:bookmarkEnd w:id="26"/>
    <w:bookmarkEnd w:id="27"/>
    <w:p>
      <w:pPr>
        <w:pStyle w:val="6"/>
        <w:spacing w:before="0" w:beforeAutospacing="0" w:line="520" w:lineRule="exact"/>
        <w:ind w:left="0" w:firstLine="0"/>
      </w:pPr>
      <w:bookmarkStart w:id="35" w:name="_Toc21903"/>
      <w:r>
        <w:t>环境风险受体</w:t>
      </w:r>
      <w:bookmarkEnd w:id="35"/>
    </w:p>
    <w:p>
      <w:pPr>
        <w:pStyle w:val="95"/>
        <w:spacing w:line="520" w:lineRule="exact"/>
        <w:ind w:firstLine="560"/>
        <w:jc w:val="both"/>
        <w:rPr>
          <w:b w:val="0"/>
          <w:bCs/>
          <w:sz w:val="28"/>
          <w:szCs w:val="28"/>
        </w:rPr>
      </w:pPr>
      <w:bookmarkStart w:id="36" w:name="_Toc472856691"/>
      <w:r>
        <w:rPr>
          <w:rFonts w:hint="eastAsia"/>
          <w:b w:val="0"/>
          <w:bCs/>
          <w:sz w:val="28"/>
          <w:szCs w:val="28"/>
          <w:lang w:val="en-US" w:eastAsia="zh-CN"/>
        </w:rPr>
        <w:t>项目的环境受体统计过程通过现场走访和卫星影像辨识相结合的方式进行，环境风险受体统计结果见表2.2-1。</w:t>
      </w:r>
    </w:p>
    <w:p>
      <w:pPr>
        <w:pStyle w:val="32"/>
        <w:spacing w:line="240" w:lineRule="auto"/>
        <w:rPr>
          <w:rFonts w:eastAsia="仿宋_GB2312"/>
          <w:b w:val="0"/>
          <w:bCs w:val="0"/>
          <w:sz w:val="28"/>
          <w:szCs w:val="28"/>
        </w:rPr>
      </w:pPr>
      <w:r>
        <w:rPr>
          <w:rFonts w:eastAsia="仿宋_GB2312"/>
          <w:b w:val="0"/>
          <w:bCs w:val="0"/>
          <w:sz w:val="28"/>
          <w:szCs w:val="28"/>
        </w:rPr>
        <w:t>表</w:t>
      </w:r>
      <w:r>
        <w:rPr>
          <w:rFonts w:eastAsia="仿宋_GB2312"/>
          <w:b w:val="0"/>
          <w:bCs w:val="0"/>
          <w:sz w:val="28"/>
          <w:szCs w:val="28"/>
        </w:rPr>
        <w:fldChar w:fldCharType="begin"/>
      </w:r>
      <w:r>
        <w:rPr>
          <w:rFonts w:eastAsia="仿宋_GB2312"/>
          <w:b w:val="0"/>
          <w:bCs w:val="0"/>
          <w:sz w:val="28"/>
          <w:szCs w:val="28"/>
        </w:rPr>
        <w:instrText xml:space="preserve"> STYLEREF 2 \s </w:instrText>
      </w:r>
      <w:r>
        <w:rPr>
          <w:rFonts w:eastAsia="仿宋_GB2312"/>
          <w:b w:val="0"/>
          <w:bCs w:val="0"/>
          <w:sz w:val="28"/>
          <w:szCs w:val="28"/>
        </w:rPr>
        <w:fldChar w:fldCharType="separate"/>
      </w:r>
      <w:r>
        <w:rPr>
          <w:rFonts w:eastAsia="仿宋_GB2312"/>
          <w:b w:val="0"/>
          <w:bCs w:val="0"/>
          <w:sz w:val="28"/>
          <w:szCs w:val="28"/>
        </w:rPr>
        <w:t>2.2</w:t>
      </w:r>
      <w:r>
        <w:rPr>
          <w:rFonts w:eastAsia="仿宋_GB2312"/>
          <w:b w:val="0"/>
          <w:bCs w:val="0"/>
          <w:sz w:val="28"/>
          <w:szCs w:val="28"/>
        </w:rPr>
        <w:fldChar w:fldCharType="end"/>
      </w:r>
      <w:r>
        <w:rPr>
          <w:rFonts w:eastAsia="仿宋_GB2312"/>
          <w:b w:val="0"/>
          <w:bCs w:val="0"/>
          <w:sz w:val="28"/>
          <w:szCs w:val="28"/>
        </w:rPr>
        <w:t>-1  环境风险受体分布情况统计表</w:t>
      </w:r>
    </w:p>
    <w:tbl>
      <w:tblPr>
        <w:tblStyle w:val="35"/>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45"/>
        <w:gridCol w:w="2176"/>
        <w:gridCol w:w="652"/>
        <w:gridCol w:w="653"/>
        <w:gridCol w:w="995"/>
        <w:gridCol w:w="1196"/>
        <w:gridCol w:w="654"/>
        <w:gridCol w:w="888"/>
        <w:gridCol w:w="76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207" w:type="pct"/>
            <w:vMerge w:val="restart"/>
            <w:noWrap/>
            <w:vAlign w:val="center"/>
          </w:tcPr>
          <w:p>
            <w:pPr>
              <w:adjustRightInd w:val="0"/>
              <w:snapToGrid w:val="0"/>
              <w:ind w:left="-105" w:leftChars="-50" w:right="-105" w:rightChars="-50"/>
              <w:jc w:val="center"/>
              <w:rPr>
                <w:rFonts w:eastAsia="仿宋"/>
                <w:b/>
              </w:rPr>
            </w:pPr>
            <w:r>
              <w:rPr>
                <w:rFonts w:eastAsia="仿宋"/>
                <w:b/>
              </w:rPr>
              <w:t>环境要素</w:t>
            </w:r>
          </w:p>
        </w:tc>
        <w:tc>
          <w:tcPr>
            <w:tcW w:w="920" w:type="pct"/>
            <w:vMerge w:val="restart"/>
            <w:noWrap/>
            <w:vAlign w:val="center"/>
          </w:tcPr>
          <w:p>
            <w:pPr>
              <w:adjustRightInd w:val="0"/>
              <w:snapToGrid w:val="0"/>
              <w:ind w:left="-105" w:leftChars="-50" w:right="-105" w:rightChars="-50"/>
              <w:jc w:val="center"/>
              <w:rPr>
                <w:rFonts w:eastAsia="仿宋"/>
                <w:b/>
              </w:rPr>
            </w:pPr>
            <w:r>
              <w:rPr>
                <w:rFonts w:eastAsia="仿宋"/>
                <w:b/>
              </w:rPr>
              <w:t>保护目标名称</w:t>
            </w:r>
          </w:p>
        </w:tc>
        <w:tc>
          <w:tcPr>
            <w:tcW w:w="1074" w:type="pct"/>
            <w:gridSpan w:val="2"/>
            <w:noWrap/>
            <w:vAlign w:val="center"/>
          </w:tcPr>
          <w:p>
            <w:pPr>
              <w:adjustRightInd w:val="0"/>
              <w:snapToGrid w:val="0"/>
              <w:ind w:left="-105" w:leftChars="-50" w:right="-105" w:rightChars="-50"/>
              <w:jc w:val="center"/>
              <w:rPr>
                <w:rFonts w:eastAsia="仿宋"/>
                <w:b/>
              </w:rPr>
            </w:pPr>
            <w:r>
              <w:rPr>
                <w:rFonts w:eastAsia="仿宋"/>
                <w:b/>
              </w:rPr>
              <w:t>距离厂址最近点位坐标</w:t>
            </w:r>
          </w:p>
        </w:tc>
        <w:tc>
          <w:tcPr>
            <w:tcW w:w="838" w:type="pct"/>
            <w:vMerge w:val="restart"/>
            <w:noWrap/>
            <w:vAlign w:val="center"/>
          </w:tcPr>
          <w:p>
            <w:pPr>
              <w:adjustRightInd w:val="0"/>
              <w:snapToGrid w:val="0"/>
              <w:ind w:left="-105" w:leftChars="-50" w:right="-105" w:rightChars="-50"/>
              <w:jc w:val="center"/>
              <w:rPr>
                <w:rFonts w:eastAsia="仿宋"/>
                <w:b/>
              </w:rPr>
            </w:pPr>
            <w:r>
              <w:rPr>
                <w:rFonts w:eastAsia="仿宋"/>
                <w:b/>
              </w:rPr>
              <w:t>保护对象</w:t>
            </w:r>
          </w:p>
        </w:tc>
        <w:tc>
          <w:tcPr>
            <w:tcW w:w="456" w:type="pct"/>
            <w:vMerge w:val="restart"/>
            <w:noWrap/>
            <w:vAlign w:val="center"/>
          </w:tcPr>
          <w:p>
            <w:pPr>
              <w:adjustRightInd w:val="0"/>
              <w:snapToGrid w:val="0"/>
              <w:ind w:left="-105" w:leftChars="-50" w:right="-105" w:rightChars="-50"/>
              <w:jc w:val="center"/>
              <w:rPr>
                <w:rFonts w:eastAsia="仿宋"/>
                <w:b/>
              </w:rPr>
            </w:pPr>
            <w:r>
              <w:rPr>
                <w:rFonts w:eastAsia="仿宋"/>
                <w:b/>
              </w:rPr>
              <w:t>保护内容</w:t>
            </w:r>
          </w:p>
        </w:tc>
        <w:tc>
          <w:tcPr>
            <w:tcW w:w="385" w:type="pct"/>
            <w:vMerge w:val="restart"/>
            <w:noWrap/>
            <w:vAlign w:val="center"/>
          </w:tcPr>
          <w:p>
            <w:pPr>
              <w:adjustRightInd w:val="0"/>
              <w:snapToGrid w:val="0"/>
              <w:ind w:left="-105" w:leftChars="-50" w:right="-105" w:rightChars="-50"/>
              <w:jc w:val="center"/>
              <w:rPr>
                <w:rFonts w:eastAsia="仿宋"/>
                <w:b/>
              </w:rPr>
            </w:pPr>
            <w:r>
              <w:rPr>
                <w:rFonts w:eastAsia="仿宋"/>
                <w:b/>
              </w:rPr>
              <w:t>环境功能区</w:t>
            </w:r>
          </w:p>
        </w:tc>
        <w:tc>
          <w:tcPr>
            <w:tcW w:w="391" w:type="pct"/>
            <w:vMerge w:val="restart"/>
            <w:noWrap/>
            <w:vAlign w:val="center"/>
          </w:tcPr>
          <w:p>
            <w:pPr>
              <w:adjustRightInd w:val="0"/>
              <w:snapToGrid w:val="0"/>
              <w:ind w:left="-105" w:leftChars="-50" w:right="-105" w:rightChars="-50"/>
              <w:jc w:val="center"/>
              <w:rPr>
                <w:rFonts w:eastAsia="仿宋"/>
                <w:b/>
              </w:rPr>
            </w:pPr>
            <w:r>
              <w:rPr>
                <w:rFonts w:eastAsia="仿宋"/>
                <w:b/>
              </w:rPr>
              <w:t>相对厂址方位</w:t>
            </w:r>
          </w:p>
        </w:tc>
        <w:tc>
          <w:tcPr>
            <w:tcW w:w="725" w:type="pct"/>
            <w:vMerge w:val="restart"/>
            <w:noWrap/>
            <w:vAlign w:val="center"/>
          </w:tcPr>
          <w:p>
            <w:pPr>
              <w:adjustRightInd w:val="0"/>
              <w:snapToGrid w:val="0"/>
              <w:ind w:left="-105" w:leftChars="-50" w:right="-105" w:rightChars="-50"/>
              <w:jc w:val="center"/>
              <w:rPr>
                <w:rFonts w:eastAsia="仿宋"/>
                <w:b/>
              </w:rPr>
            </w:pPr>
            <w:r>
              <w:rPr>
                <w:rFonts w:eastAsia="仿宋"/>
                <w:b/>
              </w:rPr>
              <w:t>相对厂界距离</w:t>
            </w:r>
          </w:p>
          <w:p>
            <w:pPr>
              <w:adjustRightInd w:val="0"/>
              <w:snapToGrid w:val="0"/>
              <w:ind w:left="-105" w:leftChars="-50" w:right="-105" w:rightChars="-50"/>
              <w:jc w:val="center"/>
              <w:rPr>
                <w:rFonts w:eastAsia="仿宋"/>
                <w:b/>
              </w:rPr>
            </w:pPr>
            <w:r>
              <w:rPr>
                <w:rFonts w:eastAsia="仿宋"/>
                <w:b/>
              </w:rPr>
              <w:t>/m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207" w:type="pct"/>
            <w:vMerge w:val="continue"/>
            <w:noWrap/>
            <w:vAlign w:val="center"/>
          </w:tcPr>
          <w:p>
            <w:pPr>
              <w:adjustRightInd w:val="0"/>
              <w:snapToGrid w:val="0"/>
              <w:ind w:left="-105" w:leftChars="-50" w:right="-105" w:rightChars="-50"/>
              <w:jc w:val="center"/>
              <w:rPr>
                <w:rFonts w:eastAsia="仿宋"/>
                <w:b/>
              </w:rPr>
            </w:pPr>
          </w:p>
        </w:tc>
        <w:tc>
          <w:tcPr>
            <w:tcW w:w="920" w:type="pct"/>
            <w:vMerge w:val="continue"/>
            <w:noWrap/>
            <w:vAlign w:val="center"/>
          </w:tcPr>
          <w:p>
            <w:pPr>
              <w:adjustRightInd w:val="0"/>
              <w:snapToGrid w:val="0"/>
              <w:ind w:left="-105" w:leftChars="-50" w:right="-105" w:rightChars="-50"/>
              <w:jc w:val="center"/>
              <w:rPr>
                <w:rFonts w:eastAsia="仿宋"/>
                <w:b/>
              </w:rPr>
            </w:pPr>
          </w:p>
        </w:tc>
        <w:tc>
          <w:tcPr>
            <w:tcW w:w="536" w:type="pct"/>
            <w:noWrap/>
            <w:vAlign w:val="center"/>
          </w:tcPr>
          <w:p>
            <w:pPr>
              <w:adjustRightInd w:val="0"/>
              <w:snapToGrid w:val="0"/>
              <w:ind w:left="-105" w:leftChars="-50" w:right="-105" w:rightChars="-50"/>
              <w:jc w:val="center"/>
              <w:rPr>
                <w:rFonts w:eastAsia="仿宋"/>
                <w:b/>
              </w:rPr>
            </w:pPr>
            <w:r>
              <w:rPr>
                <w:rFonts w:eastAsia="仿宋"/>
                <w:b/>
              </w:rPr>
              <w:t>经度</w:t>
            </w:r>
          </w:p>
        </w:tc>
        <w:tc>
          <w:tcPr>
            <w:tcW w:w="537" w:type="pct"/>
            <w:noWrap/>
            <w:vAlign w:val="center"/>
          </w:tcPr>
          <w:p>
            <w:pPr>
              <w:adjustRightInd w:val="0"/>
              <w:snapToGrid w:val="0"/>
              <w:ind w:left="-105" w:leftChars="-50" w:right="-105" w:rightChars="-50"/>
              <w:jc w:val="center"/>
              <w:rPr>
                <w:rFonts w:eastAsia="仿宋"/>
                <w:b/>
              </w:rPr>
            </w:pPr>
            <w:r>
              <w:rPr>
                <w:rFonts w:eastAsia="仿宋"/>
                <w:b/>
              </w:rPr>
              <w:t>纬度</w:t>
            </w:r>
          </w:p>
        </w:tc>
        <w:tc>
          <w:tcPr>
            <w:tcW w:w="838" w:type="pct"/>
            <w:vMerge w:val="continue"/>
            <w:noWrap/>
            <w:vAlign w:val="center"/>
          </w:tcPr>
          <w:p>
            <w:pPr>
              <w:adjustRightInd w:val="0"/>
              <w:snapToGrid w:val="0"/>
              <w:ind w:left="-105" w:leftChars="-50" w:right="-105" w:rightChars="-50"/>
              <w:jc w:val="center"/>
              <w:rPr>
                <w:rFonts w:eastAsia="仿宋"/>
                <w:b/>
              </w:rPr>
            </w:pPr>
          </w:p>
        </w:tc>
        <w:tc>
          <w:tcPr>
            <w:tcW w:w="456" w:type="pct"/>
            <w:vMerge w:val="continue"/>
            <w:noWrap/>
            <w:vAlign w:val="center"/>
          </w:tcPr>
          <w:p>
            <w:pPr>
              <w:adjustRightInd w:val="0"/>
              <w:snapToGrid w:val="0"/>
              <w:ind w:left="-105" w:leftChars="-50" w:right="-105" w:rightChars="-50"/>
              <w:jc w:val="center"/>
              <w:rPr>
                <w:rFonts w:eastAsia="仿宋"/>
                <w:b/>
              </w:rPr>
            </w:pPr>
          </w:p>
        </w:tc>
        <w:tc>
          <w:tcPr>
            <w:tcW w:w="385" w:type="pct"/>
            <w:vMerge w:val="continue"/>
            <w:noWrap/>
            <w:vAlign w:val="center"/>
          </w:tcPr>
          <w:p>
            <w:pPr>
              <w:adjustRightInd w:val="0"/>
              <w:snapToGrid w:val="0"/>
              <w:ind w:left="-105" w:leftChars="-50" w:right="-105" w:rightChars="-50"/>
              <w:jc w:val="center"/>
              <w:rPr>
                <w:rFonts w:eastAsia="仿宋"/>
                <w:b/>
              </w:rPr>
            </w:pPr>
          </w:p>
        </w:tc>
        <w:tc>
          <w:tcPr>
            <w:tcW w:w="391" w:type="pct"/>
            <w:vMerge w:val="continue"/>
            <w:noWrap/>
            <w:vAlign w:val="center"/>
          </w:tcPr>
          <w:p>
            <w:pPr>
              <w:adjustRightInd w:val="0"/>
              <w:snapToGrid w:val="0"/>
              <w:ind w:left="-105" w:leftChars="-50" w:right="-105" w:rightChars="-50"/>
              <w:jc w:val="center"/>
              <w:rPr>
                <w:rFonts w:eastAsia="仿宋"/>
                <w:b/>
              </w:rPr>
            </w:pPr>
          </w:p>
        </w:tc>
        <w:tc>
          <w:tcPr>
            <w:tcW w:w="725" w:type="pct"/>
            <w:vMerge w:val="continue"/>
            <w:noWrap/>
            <w:vAlign w:val="center"/>
          </w:tcPr>
          <w:p>
            <w:pPr>
              <w:adjustRightInd w:val="0"/>
              <w:snapToGrid w:val="0"/>
              <w:ind w:left="-105" w:leftChars="-50" w:right="-105" w:rightChars="-50"/>
              <w:jc w:val="center"/>
              <w:rPr>
                <w:rFonts w:eastAsia="仿宋"/>
                <w:b/>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restart"/>
            <w:noWrap/>
            <w:vAlign w:val="center"/>
          </w:tcPr>
          <w:p>
            <w:pPr>
              <w:adjustRightInd w:val="0"/>
              <w:snapToGrid w:val="0"/>
              <w:ind w:left="-105" w:leftChars="-50" w:right="-105" w:rightChars="-50"/>
              <w:jc w:val="center"/>
              <w:rPr>
                <w:rFonts w:eastAsia="仿宋"/>
              </w:rPr>
            </w:pPr>
            <w:r>
              <w:rPr>
                <w:rFonts w:eastAsia="仿宋"/>
              </w:rPr>
              <w:t>环境空气</w:t>
            </w:r>
          </w:p>
        </w:tc>
        <w:tc>
          <w:tcPr>
            <w:tcW w:w="920" w:type="pct"/>
            <w:noWrap/>
            <w:vAlign w:val="center"/>
          </w:tcPr>
          <w:p>
            <w:pPr>
              <w:adjustRightInd w:val="0"/>
              <w:snapToGrid w:val="0"/>
              <w:ind w:left="-105" w:leftChars="-50" w:right="-105" w:rightChars="-50"/>
              <w:jc w:val="center"/>
              <w:rPr>
                <w:rFonts w:eastAsia="仿宋"/>
              </w:rPr>
            </w:pPr>
            <w:r>
              <w:rPr>
                <w:rFonts w:eastAsia="仿宋"/>
              </w:rPr>
              <w:t>七里社区居民集中区</w:t>
            </w:r>
          </w:p>
        </w:tc>
        <w:tc>
          <w:tcPr>
            <w:tcW w:w="536" w:type="pct"/>
            <w:noWrap/>
            <w:vAlign w:val="center"/>
          </w:tcPr>
          <w:p>
            <w:pPr>
              <w:adjustRightInd w:val="0"/>
              <w:snapToGrid w:val="0"/>
              <w:ind w:left="-105" w:leftChars="-50" w:right="-105" w:rightChars="-50"/>
              <w:jc w:val="center"/>
              <w:rPr>
                <w:rFonts w:eastAsia="仿宋"/>
              </w:rPr>
            </w:pPr>
            <w:r>
              <w:rPr>
                <w:rFonts w:eastAsia="仿宋"/>
              </w:rPr>
              <w:t>111.593617</w:t>
            </w:r>
          </w:p>
        </w:tc>
        <w:tc>
          <w:tcPr>
            <w:tcW w:w="537" w:type="pct"/>
            <w:noWrap/>
            <w:vAlign w:val="center"/>
          </w:tcPr>
          <w:p>
            <w:pPr>
              <w:adjustRightInd w:val="0"/>
              <w:snapToGrid w:val="0"/>
              <w:ind w:left="-105" w:leftChars="-50" w:right="-105" w:rightChars="-50"/>
              <w:jc w:val="center"/>
              <w:rPr>
                <w:rFonts w:eastAsia="仿宋"/>
              </w:rPr>
            </w:pPr>
            <w:r>
              <w:rPr>
                <w:rFonts w:eastAsia="仿宋"/>
              </w:rPr>
              <w:t>31.133094</w:t>
            </w:r>
          </w:p>
        </w:tc>
        <w:tc>
          <w:tcPr>
            <w:tcW w:w="838" w:type="pct"/>
            <w:noWrap/>
            <w:vAlign w:val="center"/>
          </w:tcPr>
          <w:p>
            <w:pPr>
              <w:adjustRightInd w:val="0"/>
              <w:snapToGrid w:val="0"/>
              <w:ind w:left="-105" w:leftChars="-50" w:right="-105" w:rightChars="-50"/>
              <w:jc w:val="center"/>
              <w:rPr>
                <w:rFonts w:eastAsia="仿宋"/>
              </w:rPr>
            </w:pPr>
            <w:r>
              <w:rPr>
                <w:rFonts w:eastAsia="仿宋"/>
              </w:rPr>
              <w:t>约350户，880人</w:t>
            </w:r>
          </w:p>
        </w:tc>
        <w:tc>
          <w:tcPr>
            <w:tcW w:w="456" w:type="pct"/>
            <w:vMerge w:val="restart"/>
            <w:noWrap/>
            <w:vAlign w:val="center"/>
          </w:tcPr>
          <w:p>
            <w:pPr>
              <w:adjustRightInd w:val="0"/>
              <w:snapToGrid w:val="0"/>
              <w:ind w:left="-105" w:leftChars="-50" w:right="-105" w:rightChars="-50"/>
              <w:jc w:val="center"/>
              <w:rPr>
                <w:rFonts w:eastAsia="仿宋"/>
              </w:rPr>
            </w:pPr>
            <w:r>
              <w:rPr>
                <w:rFonts w:eastAsia="仿宋"/>
              </w:rPr>
              <w:t>居住环境环境空气质量</w:t>
            </w:r>
          </w:p>
          <w:p>
            <w:pPr>
              <w:adjustRightInd w:val="0"/>
              <w:snapToGrid w:val="0"/>
              <w:ind w:left="-105" w:leftChars="-50" w:right="-105" w:rightChars="-50"/>
              <w:rPr>
                <w:rFonts w:eastAsia="仿宋"/>
              </w:rPr>
            </w:pPr>
          </w:p>
        </w:tc>
        <w:tc>
          <w:tcPr>
            <w:tcW w:w="385" w:type="pct"/>
            <w:vMerge w:val="restart"/>
            <w:noWrap/>
            <w:vAlign w:val="center"/>
          </w:tcPr>
          <w:p>
            <w:pPr>
              <w:adjustRightInd w:val="0"/>
              <w:snapToGrid w:val="0"/>
              <w:ind w:left="-105" w:leftChars="-50" w:right="-105" w:rightChars="-50"/>
              <w:jc w:val="center"/>
              <w:rPr>
                <w:rFonts w:eastAsia="仿宋"/>
              </w:rPr>
            </w:pPr>
            <w:r>
              <w:rPr>
                <w:rFonts w:eastAsia="仿宋"/>
              </w:rPr>
              <w:t>二级</w:t>
            </w:r>
          </w:p>
        </w:tc>
        <w:tc>
          <w:tcPr>
            <w:tcW w:w="391" w:type="pct"/>
            <w:noWrap/>
            <w:vAlign w:val="center"/>
          </w:tcPr>
          <w:p>
            <w:pPr>
              <w:adjustRightInd w:val="0"/>
              <w:snapToGrid w:val="0"/>
              <w:ind w:left="-105" w:leftChars="-50" w:right="-105" w:rightChars="-50"/>
              <w:jc w:val="center"/>
              <w:rPr>
                <w:rFonts w:eastAsia="仿宋"/>
              </w:rPr>
            </w:pPr>
            <w:r>
              <w:rPr>
                <w:rFonts w:eastAsia="仿宋"/>
              </w:rPr>
              <w:t>N、NNE、NNW</w:t>
            </w:r>
          </w:p>
        </w:tc>
        <w:tc>
          <w:tcPr>
            <w:tcW w:w="725" w:type="pct"/>
            <w:noWrap/>
            <w:vAlign w:val="center"/>
          </w:tcPr>
          <w:p>
            <w:pPr>
              <w:adjustRightInd w:val="0"/>
              <w:snapToGrid w:val="0"/>
              <w:ind w:left="-105" w:leftChars="-50" w:right="-105" w:rightChars="-50"/>
              <w:jc w:val="center"/>
              <w:rPr>
                <w:rFonts w:eastAsia="仿宋"/>
              </w:rPr>
            </w:pPr>
            <w:r>
              <w:rPr>
                <w:rFonts w:eastAsia="仿宋"/>
              </w:rPr>
              <w:t>1000-1500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七里社区散住农户</w:t>
            </w:r>
          </w:p>
        </w:tc>
        <w:tc>
          <w:tcPr>
            <w:tcW w:w="536" w:type="pct"/>
            <w:noWrap/>
            <w:vAlign w:val="center"/>
          </w:tcPr>
          <w:p>
            <w:pPr>
              <w:adjustRightInd w:val="0"/>
              <w:snapToGrid w:val="0"/>
              <w:ind w:left="-105" w:leftChars="-50" w:right="-105" w:rightChars="-50"/>
              <w:jc w:val="center"/>
              <w:rPr>
                <w:rFonts w:eastAsia="仿宋"/>
              </w:rPr>
            </w:pPr>
            <w:r>
              <w:rPr>
                <w:rFonts w:eastAsia="仿宋"/>
              </w:rPr>
              <w:t>111.592898</w:t>
            </w:r>
          </w:p>
        </w:tc>
        <w:tc>
          <w:tcPr>
            <w:tcW w:w="537" w:type="pct"/>
            <w:noWrap/>
            <w:vAlign w:val="center"/>
          </w:tcPr>
          <w:p>
            <w:pPr>
              <w:adjustRightInd w:val="0"/>
              <w:snapToGrid w:val="0"/>
              <w:ind w:left="-105" w:leftChars="-50" w:right="-105" w:rightChars="-50"/>
              <w:jc w:val="center"/>
              <w:rPr>
                <w:rFonts w:eastAsia="仿宋"/>
              </w:rPr>
            </w:pPr>
            <w:r>
              <w:rPr>
                <w:rFonts w:eastAsia="仿宋"/>
              </w:rPr>
              <w:t>31.13188</w:t>
            </w:r>
          </w:p>
        </w:tc>
        <w:tc>
          <w:tcPr>
            <w:tcW w:w="838" w:type="pct"/>
            <w:noWrap/>
            <w:vAlign w:val="center"/>
          </w:tcPr>
          <w:p>
            <w:pPr>
              <w:adjustRightInd w:val="0"/>
              <w:snapToGrid w:val="0"/>
              <w:ind w:left="-105" w:leftChars="-50" w:right="-105" w:rightChars="-50"/>
              <w:jc w:val="center"/>
              <w:rPr>
                <w:rFonts w:eastAsia="仿宋"/>
              </w:rPr>
            </w:pPr>
            <w:r>
              <w:rPr>
                <w:rFonts w:eastAsia="仿宋"/>
              </w:rPr>
              <w:t>4户，10人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N</w:t>
            </w:r>
          </w:p>
        </w:tc>
        <w:tc>
          <w:tcPr>
            <w:tcW w:w="725" w:type="pct"/>
            <w:noWrap/>
            <w:vAlign w:val="center"/>
          </w:tcPr>
          <w:p>
            <w:pPr>
              <w:adjustRightInd w:val="0"/>
              <w:snapToGrid w:val="0"/>
              <w:ind w:left="-105" w:leftChars="-50" w:right="-105" w:rightChars="-50"/>
              <w:jc w:val="center"/>
              <w:rPr>
                <w:rFonts w:eastAsia="仿宋"/>
              </w:rPr>
            </w:pPr>
            <w:r>
              <w:rPr>
                <w:rFonts w:eastAsia="仿宋"/>
              </w:rPr>
              <w:t>700-985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杨家坝、傅家台、张家台、傅家坝散住农户</w:t>
            </w:r>
          </w:p>
        </w:tc>
        <w:tc>
          <w:tcPr>
            <w:tcW w:w="536" w:type="pct"/>
            <w:noWrap/>
            <w:vAlign w:val="center"/>
          </w:tcPr>
          <w:p>
            <w:pPr>
              <w:adjustRightInd w:val="0"/>
              <w:snapToGrid w:val="0"/>
              <w:ind w:left="-105" w:leftChars="-50" w:right="-105" w:rightChars="-50"/>
              <w:jc w:val="center"/>
              <w:rPr>
                <w:rFonts w:eastAsia="仿宋"/>
              </w:rPr>
            </w:pPr>
            <w:r>
              <w:rPr>
                <w:rFonts w:eastAsia="仿宋"/>
              </w:rPr>
              <w:t>111.586676</w:t>
            </w:r>
          </w:p>
        </w:tc>
        <w:tc>
          <w:tcPr>
            <w:tcW w:w="537" w:type="pct"/>
            <w:noWrap/>
            <w:vAlign w:val="center"/>
          </w:tcPr>
          <w:p>
            <w:pPr>
              <w:adjustRightInd w:val="0"/>
              <w:snapToGrid w:val="0"/>
              <w:ind w:left="-105" w:leftChars="-50" w:right="-105" w:rightChars="-50"/>
              <w:jc w:val="center"/>
              <w:rPr>
                <w:rFonts w:eastAsia="仿宋"/>
              </w:rPr>
            </w:pPr>
            <w:r>
              <w:rPr>
                <w:rFonts w:eastAsia="仿宋"/>
              </w:rPr>
              <w:t>31.123387</w:t>
            </w:r>
          </w:p>
        </w:tc>
        <w:tc>
          <w:tcPr>
            <w:tcW w:w="838" w:type="pct"/>
            <w:noWrap/>
            <w:vAlign w:val="center"/>
          </w:tcPr>
          <w:p>
            <w:pPr>
              <w:adjustRightInd w:val="0"/>
              <w:snapToGrid w:val="0"/>
              <w:ind w:left="-105" w:leftChars="-50" w:right="-105" w:rightChars="-50"/>
              <w:jc w:val="center"/>
              <w:rPr>
                <w:rFonts w:eastAsia="仿宋"/>
              </w:rPr>
            </w:pPr>
            <w:r>
              <w:rPr>
                <w:rFonts w:eastAsia="仿宋"/>
              </w:rPr>
              <w:t>约60户，150人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SW、SSW、S</w:t>
            </w:r>
          </w:p>
        </w:tc>
        <w:tc>
          <w:tcPr>
            <w:tcW w:w="725" w:type="pct"/>
            <w:noWrap/>
            <w:vAlign w:val="center"/>
          </w:tcPr>
          <w:p>
            <w:pPr>
              <w:adjustRightInd w:val="0"/>
              <w:snapToGrid w:val="0"/>
              <w:ind w:left="-105" w:leftChars="-50" w:right="-105" w:rightChars="-50"/>
              <w:jc w:val="center"/>
              <w:rPr>
                <w:rFonts w:eastAsia="仿宋"/>
              </w:rPr>
            </w:pPr>
            <w:r>
              <w:rPr>
                <w:rFonts w:eastAsia="仿宋"/>
              </w:rPr>
              <w:t>800-1600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车家冲农户聚集区</w:t>
            </w:r>
          </w:p>
        </w:tc>
        <w:tc>
          <w:tcPr>
            <w:tcW w:w="536" w:type="pct"/>
            <w:noWrap/>
            <w:vAlign w:val="center"/>
          </w:tcPr>
          <w:p>
            <w:pPr>
              <w:adjustRightInd w:val="0"/>
              <w:snapToGrid w:val="0"/>
              <w:ind w:left="-105" w:leftChars="-50" w:right="-105" w:rightChars="-50"/>
              <w:jc w:val="center"/>
              <w:rPr>
                <w:rFonts w:eastAsia="仿宋"/>
              </w:rPr>
            </w:pPr>
            <w:r>
              <w:rPr>
                <w:rFonts w:eastAsia="仿宋"/>
              </w:rPr>
              <w:t>111.590130</w:t>
            </w:r>
          </w:p>
        </w:tc>
        <w:tc>
          <w:tcPr>
            <w:tcW w:w="537" w:type="pct"/>
            <w:noWrap/>
            <w:vAlign w:val="center"/>
          </w:tcPr>
          <w:p>
            <w:pPr>
              <w:adjustRightInd w:val="0"/>
              <w:snapToGrid w:val="0"/>
              <w:ind w:left="-105" w:leftChars="-50" w:right="-105" w:rightChars="-50"/>
              <w:jc w:val="center"/>
              <w:rPr>
                <w:rFonts w:eastAsia="仿宋"/>
              </w:rPr>
            </w:pPr>
            <w:r>
              <w:rPr>
                <w:rFonts w:eastAsia="仿宋"/>
              </w:rPr>
              <w:t>31.134885</w:t>
            </w:r>
          </w:p>
        </w:tc>
        <w:tc>
          <w:tcPr>
            <w:tcW w:w="838" w:type="pct"/>
            <w:noWrap/>
            <w:vAlign w:val="center"/>
          </w:tcPr>
          <w:p>
            <w:pPr>
              <w:adjustRightInd w:val="0"/>
              <w:snapToGrid w:val="0"/>
              <w:ind w:left="-105" w:leftChars="-50" w:right="-105" w:rightChars="-50"/>
              <w:jc w:val="center"/>
              <w:rPr>
                <w:rFonts w:eastAsia="仿宋"/>
              </w:rPr>
            </w:pPr>
            <w:r>
              <w:rPr>
                <w:rFonts w:eastAsia="仿宋"/>
              </w:rPr>
              <w:t>约50户，130人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NW</w:t>
            </w:r>
          </w:p>
        </w:tc>
        <w:tc>
          <w:tcPr>
            <w:tcW w:w="725" w:type="pct"/>
            <w:noWrap/>
            <w:vAlign w:val="center"/>
          </w:tcPr>
          <w:p>
            <w:pPr>
              <w:adjustRightInd w:val="0"/>
              <w:snapToGrid w:val="0"/>
              <w:ind w:left="-105" w:leftChars="-50" w:right="-105" w:rightChars="-50"/>
              <w:jc w:val="center"/>
              <w:rPr>
                <w:rFonts w:eastAsia="仿宋"/>
              </w:rPr>
            </w:pPr>
            <w:r>
              <w:rPr>
                <w:rFonts w:eastAsia="仿宋"/>
              </w:rPr>
              <w:t>1000-1200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张家湾、吴家坝农户聚集区</w:t>
            </w:r>
          </w:p>
        </w:tc>
        <w:tc>
          <w:tcPr>
            <w:tcW w:w="536" w:type="pct"/>
            <w:noWrap/>
            <w:vAlign w:val="center"/>
          </w:tcPr>
          <w:p>
            <w:pPr>
              <w:adjustRightInd w:val="0"/>
              <w:snapToGrid w:val="0"/>
              <w:ind w:left="-105" w:leftChars="-50" w:right="-105" w:rightChars="-50"/>
              <w:jc w:val="center"/>
              <w:rPr>
                <w:rFonts w:eastAsia="仿宋"/>
              </w:rPr>
            </w:pPr>
            <w:r>
              <w:rPr>
                <w:rFonts w:eastAsia="仿宋"/>
              </w:rPr>
              <w:t>111.601310</w:t>
            </w:r>
          </w:p>
        </w:tc>
        <w:tc>
          <w:tcPr>
            <w:tcW w:w="537" w:type="pct"/>
            <w:noWrap/>
            <w:vAlign w:val="center"/>
          </w:tcPr>
          <w:p>
            <w:pPr>
              <w:adjustRightInd w:val="0"/>
              <w:snapToGrid w:val="0"/>
              <w:ind w:left="-105" w:leftChars="-50" w:right="-105" w:rightChars="-50"/>
              <w:jc w:val="center"/>
              <w:rPr>
                <w:rFonts w:eastAsia="仿宋"/>
              </w:rPr>
            </w:pPr>
            <w:r>
              <w:rPr>
                <w:rFonts w:eastAsia="仿宋"/>
              </w:rPr>
              <w:t>31.134756</w:t>
            </w:r>
          </w:p>
        </w:tc>
        <w:tc>
          <w:tcPr>
            <w:tcW w:w="838" w:type="pct"/>
            <w:noWrap/>
            <w:vAlign w:val="center"/>
          </w:tcPr>
          <w:p>
            <w:pPr>
              <w:adjustRightInd w:val="0"/>
              <w:snapToGrid w:val="0"/>
              <w:ind w:left="-105" w:leftChars="-50" w:right="-105" w:rightChars="-50"/>
              <w:jc w:val="center"/>
              <w:rPr>
                <w:rFonts w:eastAsia="仿宋"/>
              </w:rPr>
            </w:pPr>
            <w:r>
              <w:rPr>
                <w:rFonts w:eastAsia="仿宋"/>
              </w:rPr>
              <w:t>约85户，210人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NE</w:t>
            </w:r>
          </w:p>
        </w:tc>
        <w:tc>
          <w:tcPr>
            <w:tcW w:w="725" w:type="pct"/>
            <w:noWrap/>
            <w:vAlign w:val="center"/>
          </w:tcPr>
          <w:p>
            <w:pPr>
              <w:adjustRightInd w:val="0"/>
              <w:snapToGrid w:val="0"/>
              <w:ind w:left="-105" w:leftChars="-50" w:right="-105" w:rightChars="-50"/>
              <w:jc w:val="center"/>
              <w:rPr>
                <w:rFonts w:eastAsia="仿宋"/>
              </w:rPr>
            </w:pPr>
            <w:r>
              <w:rPr>
                <w:rFonts w:eastAsia="仿宋"/>
              </w:rPr>
              <w:t>1020-1150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李家湾农户聚集区</w:t>
            </w:r>
          </w:p>
        </w:tc>
        <w:tc>
          <w:tcPr>
            <w:tcW w:w="536" w:type="pct"/>
            <w:noWrap/>
            <w:vAlign w:val="center"/>
          </w:tcPr>
          <w:p>
            <w:pPr>
              <w:adjustRightInd w:val="0"/>
              <w:snapToGrid w:val="0"/>
              <w:ind w:left="-105" w:leftChars="-50" w:right="-105" w:rightChars="-50"/>
              <w:jc w:val="center"/>
              <w:rPr>
                <w:rFonts w:eastAsia="仿宋"/>
              </w:rPr>
            </w:pPr>
            <w:r>
              <w:rPr>
                <w:rFonts w:eastAsia="仿宋"/>
              </w:rPr>
              <w:t>111.603144</w:t>
            </w:r>
          </w:p>
        </w:tc>
        <w:tc>
          <w:tcPr>
            <w:tcW w:w="537" w:type="pct"/>
            <w:noWrap/>
            <w:vAlign w:val="center"/>
          </w:tcPr>
          <w:p>
            <w:pPr>
              <w:adjustRightInd w:val="0"/>
              <w:snapToGrid w:val="0"/>
              <w:ind w:left="-105" w:leftChars="-50" w:right="-105" w:rightChars="-50"/>
              <w:jc w:val="center"/>
              <w:rPr>
                <w:rFonts w:eastAsia="仿宋"/>
              </w:rPr>
            </w:pPr>
            <w:r>
              <w:rPr>
                <w:rFonts w:eastAsia="仿宋"/>
              </w:rPr>
              <w:t>31.130100</w:t>
            </w:r>
          </w:p>
        </w:tc>
        <w:tc>
          <w:tcPr>
            <w:tcW w:w="838" w:type="pct"/>
            <w:noWrap/>
            <w:vAlign w:val="center"/>
          </w:tcPr>
          <w:p>
            <w:pPr>
              <w:adjustRightInd w:val="0"/>
              <w:snapToGrid w:val="0"/>
              <w:ind w:left="-105" w:leftChars="-50" w:right="-105" w:rightChars="-50"/>
              <w:jc w:val="center"/>
              <w:rPr>
                <w:rFonts w:eastAsia="仿宋"/>
              </w:rPr>
            </w:pPr>
            <w:r>
              <w:rPr>
                <w:rFonts w:eastAsia="仿宋"/>
              </w:rPr>
              <w:t>约55户，136人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E、SE</w:t>
            </w:r>
          </w:p>
        </w:tc>
        <w:tc>
          <w:tcPr>
            <w:tcW w:w="725" w:type="pct"/>
            <w:noWrap/>
            <w:vAlign w:val="center"/>
          </w:tcPr>
          <w:p>
            <w:pPr>
              <w:adjustRightInd w:val="0"/>
              <w:snapToGrid w:val="0"/>
              <w:ind w:left="-105" w:leftChars="-50" w:right="-105" w:rightChars="-50"/>
              <w:jc w:val="center"/>
              <w:rPr>
                <w:rFonts w:eastAsia="仿宋"/>
              </w:rPr>
            </w:pPr>
            <w:r>
              <w:rPr>
                <w:rFonts w:eastAsia="仿宋"/>
              </w:rPr>
              <w:t>1020-1330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黑冲、余湾农户聚集区</w:t>
            </w:r>
          </w:p>
        </w:tc>
        <w:tc>
          <w:tcPr>
            <w:tcW w:w="536" w:type="pct"/>
            <w:noWrap/>
            <w:vAlign w:val="center"/>
          </w:tcPr>
          <w:p>
            <w:pPr>
              <w:adjustRightInd w:val="0"/>
              <w:snapToGrid w:val="0"/>
              <w:ind w:left="-105" w:leftChars="-50" w:right="-105" w:rightChars="-50"/>
              <w:jc w:val="center"/>
              <w:rPr>
                <w:rFonts w:eastAsia="仿宋"/>
              </w:rPr>
            </w:pPr>
            <w:r>
              <w:rPr>
                <w:rFonts w:eastAsia="仿宋"/>
              </w:rPr>
              <w:t>111.616502</w:t>
            </w:r>
          </w:p>
        </w:tc>
        <w:tc>
          <w:tcPr>
            <w:tcW w:w="537" w:type="pct"/>
            <w:noWrap/>
            <w:vAlign w:val="center"/>
          </w:tcPr>
          <w:p>
            <w:pPr>
              <w:adjustRightInd w:val="0"/>
              <w:snapToGrid w:val="0"/>
              <w:ind w:left="-105" w:leftChars="-50" w:right="-105" w:rightChars="-50"/>
              <w:jc w:val="center"/>
              <w:rPr>
                <w:rFonts w:eastAsia="仿宋"/>
              </w:rPr>
            </w:pPr>
            <w:r>
              <w:rPr>
                <w:rFonts w:eastAsia="仿宋"/>
              </w:rPr>
              <w:t>31.129669</w:t>
            </w:r>
          </w:p>
        </w:tc>
        <w:tc>
          <w:tcPr>
            <w:tcW w:w="838" w:type="pct"/>
            <w:noWrap/>
            <w:vAlign w:val="center"/>
          </w:tcPr>
          <w:p>
            <w:pPr>
              <w:adjustRightInd w:val="0"/>
              <w:snapToGrid w:val="0"/>
              <w:ind w:left="-105" w:leftChars="-50" w:right="-105" w:rightChars="-50"/>
              <w:jc w:val="center"/>
              <w:rPr>
                <w:rFonts w:eastAsia="仿宋"/>
              </w:rPr>
            </w:pPr>
            <w:r>
              <w:rPr>
                <w:rFonts w:eastAsia="仿宋"/>
              </w:rPr>
              <w:t>约110户，270人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E</w:t>
            </w:r>
          </w:p>
        </w:tc>
        <w:tc>
          <w:tcPr>
            <w:tcW w:w="725" w:type="pct"/>
            <w:noWrap/>
            <w:vAlign w:val="center"/>
          </w:tcPr>
          <w:p>
            <w:pPr>
              <w:adjustRightInd w:val="0"/>
              <w:snapToGrid w:val="0"/>
              <w:ind w:left="-105" w:leftChars="-50" w:right="-105" w:rightChars="-50"/>
              <w:jc w:val="center"/>
              <w:rPr>
                <w:rFonts w:eastAsia="仿宋"/>
              </w:rPr>
            </w:pPr>
            <w:r>
              <w:rPr>
                <w:rFonts w:eastAsia="仿宋"/>
              </w:rPr>
              <w:t>1700-2500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金家冲散住农户</w:t>
            </w:r>
          </w:p>
        </w:tc>
        <w:tc>
          <w:tcPr>
            <w:tcW w:w="536" w:type="pct"/>
            <w:noWrap/>
            <w:vAlign w:val="center"/>
          </w:tcPr>
          <w:p>
            <w:pPr>
              <w:adjustRightInd w:val="0"/>
              <w:snapToGrid w:val="0"/>
              <w:ind w:left="-105" w:leftChars="-50" w:right="-105" w:rightChars="-50"/>
              <w:jc w:val="center"/>
              <w:rPr>
                <w:rFonts w:eastAsia="仿宋"/>
              </w:rPr>
            </w:pPr>
            <w:r>
              <w:rPr>
                <w:rFonts w:eastAsia="仿宋"/>
              </w:rPr>
              <w:t>111.577910</w:t>
            </w:r>
          </w:p>
        </w:tc>
        <w:tc>
          <w:tcPr>
            <w:tcW w:w="537" w:type="pct"/>
            <w:noWrap/>
            <w:vAlign w:val="center"/>
          </w:tcPr>
          <w:p>
            <w:pPr>
              <w:adjustRightInd w:val="0"/>
              <w:snapToGrid w:val="0"/>
              <w:ind w:left="-105" w:leftChars="-50" w:right="-105" w:rightChars="-50"/>
              <w:jc w:val="center"/>
              <w:rPr>
                <w:rFonts w:eastAsia="仿宋"/>
              </w:rPr>
            </w:pPr>
            <w:r>
              <w:rPr>
                <w:rFonts w:eastAsia="仿宋"/>
              </w:rPr>
              <w:t>31.137594</w:t>
            </w:r>
          </w:p>
        </w:tc>
        <w:tc>
          <w:tcPr>
            <w:tcW w:w="838" w:type="pct"/>
            <w:noWrap/>
            <w:vAlign w:val="center"/>
          </w:tcPr>
          <w:p>
            <w:pPr>
              <w:adjustRightInd w:val="0"/>
              <w:snapToGrid w:val="0"/>
              <w:ind w:left="-105" w:leftChars="-50" w:right="-105" w:rightChars="-50"/>
              <w:jc w:val="center"/>
              <w:rPr>
                <w:rFonts w:eastAsia="仿宋"/>
              </w:rPr>
            </w:pPr>
            <w:r>
              <w:rPr>
                <w:rFonts w:eastAsia="仿宋"/>
              </w:rPr>
              <w:t>4户，10人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NW</w:t>
            </w:r>
          </w:p>
        </w:tc>
        <w:tc>
          <w:tcPr>
            <w:tcW w:w="725" w:type="pct"/>
            <w:noWrap/>
            <w:vAlign w:val="center"/>
          </w:tcPr>
          <w:p>
            <w:pPr>
              <w:adjustRightInd w:val="0"/>
              <w:snapToGrid w:val="0"/>
              <w:ind w:left="-105" w:leftChars="-50" w:right="-105" w:rightChars="-50"/>
              <w:jc w:val="center"/>
              <w:rPr>
                <w:rFonts w:eastAsia="仿宋"/>
              </w:rPr>
            </w:pPr>
            <w:r>
              <w:rPr>
                <w:rFonts w:eastAsia="仿宋"/>
              </w:rPr>
              <w:t>1320-1500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旧县镇镇区</w:t>
            </w:r>
          </w:p>
        </w:tc>
        <w:tc>
          <w:tcPr>
            <w:tcW w:w="536" w:type="pct"/>
            <w:noWrap/>
            <w:vAlign w:val="center"/>
          </w:tcPr>
          <w:p>
            <w:pPr>
              <w:adjustRightInd w:val="0"/>
              <w:snapToGrid w:val="0"/>
              <w:ind w:left="-105" w:leftChars="-50" w:right="-105" w:rightChars="-50"/>
              <w:jc w:val="center"/>
              <w:rPr>
                <w:rFonts w:eastAsia="仿宋"/>
              </w:rPr>
            </w:pPr>
            <w:r>
              <w:rPr>
                <w:rFonts w:eastAsia="仿宋"/>
              </w:rPr>
              <w:t>111.605451</w:t>
            </w:r>
          </w:p>
        </w:tc>
        <w:tc>
          <w:tcPr>
            <w:tcW w:w="537" w:type="pct"/>
            <w:noWrap/>
            <w:vAlign w:val="center"/>
          </w:tcPr>
          <w:p>
            <w:pPr>
              <w:adjustRightInd w:val="0"/>
              <w:snapToGrid w:val="0"/>
              <w:ind w:left="-105" w:leftChars="-50" w:right="-105" w:rightChars="-50"/>
              <w:jc w:val="center"/>
              <w:rPr>
                <w:rFonts w:eastAsia="仿宋"/>
              </w:rPr>
            </w:pPr>
            <w:r>
              <w:rPr>
                <w:rFonts w:eastAsia="仿宋"/>
              </w:rPr>
              <w:t>31.117398</w:t>
            </w:r>
          </w:p>
        </w:tc>
        <w:tc>
          <w:tcPr>
            <w:tcW w:w="838" w:type="pct"/>
            <w:noWrap/>
            <w:vAlign w:val="center"/>
          </w:tcPr>
          <w:p>
            <w:pPr>
              <w:adjustRightInd w:val="0"/>
              <w:snapToGrid w:val="0"/>
              <w:ind w:left="-105" w:leftChars="-50" w:right="-105" w:rightChars="-50"/>
              <w:jc w:val="center"/>
              <w:rPr>
                <w:rFonts w:eastAsia="仿宋"/>
              </w:rPr>
            </w:pPr>
            <w:r>
              <w:rPr>
                <w:rFonts w:eastAsia="仿宋"/>
              </w:rPr>
              <w:t>约600户，1500人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SSE、SE、ESE</w:t>
            </w:r>
          </w:p>
        </w:tc>
        <w:tc>
          <w:tcPr>
            <w:tcW w:w="725" w:type="pct"/>
            <w:noWrap/>
            <w:vAlign w:val="center"/>
          </w:tcPr>
          <w:p>
            <w:pPr>
              <w:adjustRightInd w:val="0"/>
              <w:snapToGrid w:val="0"/>
              <w:ind w:left="-105" w:leftChars="-50" w:right="-105" w:rightChars="-50"/>
              <w:jc w:val="center"/>
              <w:rPr>
                <w:rFonts w:eastAsia="仿宋"/>
              </w:rPr>
            </w:pPr>
            <w:r>
              <w:rPr>
                <w:rFonts w:eastAsia="仿宋"/>
              </w:rPr>
              <w:t>1420-2500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旧县镇新苗幼儿园</w:t>
            </w:r>
          </w:p>
        </w:tc>
        <w:tc>
          <w:tcPr>
            <w:tcW w:w="536" w:type="pct"/>
            <w:noWrap/>
            <w:vAlign w:val="center"/>
          </w:tcPr>
          <w:p>
            <w:pPr>
              <w:adjustRightInd w:val="0"/>
              <w:snapToGrid w:val="0"/>
              <w:ind w:left="-105" w:leftChars="-50" w:right="-105" w:rightChars="-50"/>
              <w:jc w:val="center"/>
              <w:rPr>
                <w:rFonts w:eastAsia="仿宋"/>
              </w:rPr>
            </w:pPr>
            <w:r>
              <w:rPr>
                <w:rFonts w:eastAsia="仿宋"/>
              </w:rPr>
              <w:t>111.615949</w:t>
            </w:r>
          </w:p>
        </w:tc>
        <w:tc>
          <w:tcPr>
            <w:tcW w:w="537" w:type="pct"/>
            <w:noWrap/>
            <w:vAlign w:val="center"/>
          </w:tcPr>
          <w:p>
            <w:pPr>
              <w:adjustRightInd w:val="0"/>
              <w:snapToGrid w:val="0"/>
              <w:ind w:left="-105" w:leftChars="-50" w:right="-105" w:rightChars="-50"/>
              <w:jc w:val="center"/>
              <w:rPr>
                <w:rFonts w:eastAsia="仿宋"/>
              </w:rPr>
            </w:pPr>
            <w:r>
              <w:rPr>
                <w:rFonts w:eastAsia="仿宋"/>
              </w:rPr>
              <w:t>31.123610</w:t>
            </w:r>
          </w:p>
        </w:tc>
        <w:tc>
          <w:tcPr>
            <w:tcW w:w="838" w:type="pct"/>
            <w:noWrap/>
            <w:vAlign w:val="center"/>
          </w:tcPr>
          <w:p>
            <w:pPr>
              <w:adjustRightInd w:val="0"/>
              <w:snapToGrid w:val="0"/>
              <w:ind w:left="-105" w:leftChars="-50" w:right="-105" w:rightChars="-50"/>
              <w:jc w:val="center"/>
              <w:rPr>
                <w:rFonts w:eastAsia="仿宋"/>
              </w:rPr>
            </w:pPr>
            <w:r>
              <w:rPr>
                <w:rFonts w:eastAsia="仿宋"/>
              </w:rPr>
              <w:t>师生约140人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SE</w:t>
            </w:r>
          </w:p>
        </w:tc>
        <w:tc>
          <w:tcPr>
            <w:tcW w:w="725" w:type="pct"/>
            <w:noWrap/>
            <w:vAlign w:val="center"/>
          </w:tcPr>
          <w:p>
            <w:pPr>
              <w:adjustRightInd w:val="0"/>
              <w:snapToGrid w:val="0"/>
              <w:ind w:left="-105" w:leftChars="-50" w:right="-105" w:rightChars="-50"/>
              <w:jc w:val="center"/>
              <w:rPr>
                <w:rFonts w:eastAsia="仿宋"/>
              </w:rPr>
            </w:pPr>
            <w:r>
              <w:rPr>
                <w:rFonts w:eastAsia="仿宋"/>
              </w:rPr>
              <w:t>1900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旧县镇中心小学</w:t>
            </w:r>
          </w:p>
        </w:tc>
        <w:tc>
          <w:tcPr>
            <w:tcW w:w="536" w:type="pct"/>
            <w:noWrap/>
            <w:vAlign w:val="center"/>
          </w:tcPr>
          <w:p>
            <w:pPr>
              <w:adjustRightInd w:val="0"/>
              <w:snapToGrid w:val="0"/>
              <w:ind w:left="-105" w:leftChars="-50" w:right="-105" w:rightChars="-50"/>
              <w:jc w:val="center"/>
              <w:rPr>
                <w:rFonts w:eastAsia="仿宋"/>
              </w:rPr>
            </w:pPr>
            <w:r>
              <w:rPr>
                <w:rFonts w:eastAsia="仿宋"/>
              </w:rPr>
              <w:t>111.611931</w:t>
            </w:r>
          </w:p>
        </w:tc>
        <w:tc>
          <w:tcPr>
            <w:tcW w:w="537" w:type="pct"/>
            <w:noWrap/>
            <w:vAlign w:val="center"/>
          </w:tcPr>
          <w:p>
            <w:pPr>
              <w:adjustRightInd w:val="0"/>
              <w:snapToGrid w:val="0"/>
              <w:ind w:left="-105" w:leftChars="-50" w:right="-105" w:rightChars="-50"/>
              <w:jc w:val="center"/>
              <w:rPr>
                <w:rFonts w:eastAsia="仿宋"/>
              </w:rPr>
            </w:pPr>
            <w:r>
              <w:rPr>
                <w:rFonts w:eastAsia="仿宋"/>
              </w:rPr>
              <w:t>31.120659</w:t>
            </w:r>
          </w:p>
        </w:tc>
        <w:tc>
          <w:tcPr>
            <w:tcW w:w="838" w:type="pct"/>
            <w:noWrap/>
            <w:vAlign w:val="center"/>
          </w:tcPr>
          <w:p>
            <w:pPr>
              <w:adjustRightInd w:val="0"/>
              <w:snapToGrid w:val="0"/>
              <w:ind w:left="-105" w:leftChars="-50" w:right="-105" w:rightChars="-50"/>
              <w:jc w:val="center"/>
              <w:rPr>
                <w:rFonts w:eastAsia="仿宋"/>
              </w:rPr>
            </w:pPr>
            <w:r>
              <w:rPr>
                <w:rFonts w:eastAsia="仿宋"/>
              </w:rPr>
              <w:t>师生约500人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SE</w:t>
            </w:r>
          </w:p>
        </w:tc>
        <w:tc>
          <w:tcPr>
            <w:tcW w:w="725" w:type="pct"/>
            <w:noWrap/>
            <w:vAlign w:val="center"/>
          </w:tcPr>
          <w:p>
            <w:pPr>
              <w:adjustRightInd w:val="0"/>
              <w:snapToGrid w:val="0"/>
              <w:ind w:left="-105" w:leftChars="-50" w:right="-105" w:rightChars="-50"/>
              <w:jc w:val="center"/>
              <w:rPr>
                <w:rFonts w:eastAsia="仿宋"/>
              </w:rPr>
            </w:pPr>
            <w:r>
              <w:rPr>
                <w:rFonts w:eastAsia="仿宋"/>
              </w:rPr>
              <w:t>1700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旧县镇中学</w:t>
            </w:r>
          </w:p>
        </w:tc>
        <w:tc>
          <w:tcPr>
            <w:tcW w:w="536" w:type="pct"/>
            <w:noWrap/>
            <w:vAlign w:val="center"/>
          </w:tcPr>
          <w:p>
            <w:pPr>
              <w:adjustRightInd w:val="0"/>
              <w:snapToGrid w:val="0"/>
              <w:ind w:left="-105" w:leftChars="-50" w:right="-105" w:rightChars="-50"/>
              <w:jc w:val="center"/>
              <w:rPr>
                <w:rFonts w:eastAsia="仿宋"/>
              </w:rPr>
            </w:pPr>
            <w:r>
              <w:rPr>
                <w:rFonts w:eastAsia="仿宋"/>
              </w:rPr>
              <w:t>111.606567</w:t>
            </w:r>
          </w:p>
        </w:tc>
        <w:tc>
          <w:tcPr>
            <w:tcW w:w="537" w:type="pct"/>
            <w:noWrap/>
            <w:vAlign w:val="center"/>
          </w:tcPr>
          <w:p>
            <w:pPr>
              <w:adjustRightInd w:val="0"/>
              <w:snapToGrid w:val="0"/>
              <w:ind w:left="-105" w:leftChars="-50" w:right="-105" w:rightChars="-50"/>
              <w:jc w:val="center"/>
              <w:rPr>
                <w:rFonts w:eastAsia="仿宋"/>
              </w:rPr>
            </w:pPr>
            <w:r>
              <w:rPr>
                <w:rFonts w:eastAsia="仿宋"/>
              </w:rPr>
              <w:t>31.118363</w:t>
            </w:r>
          </w:p>
        </w:tc>
        <w:tc>
          <w:tcPr>
            <w:tcW w:w="838" w:type="pct"/>
            <w:noWrap/>
            <w:vAlign w:val="center"/>
          </w:tcPr>
          <w:p>
            <w:pPr>
              <w:adjustRightInd w:val="0"/>
              <w:snapToGrid w:val="0"/>
              <w:ind w:left="-105" w:leftChars="-50" w:right="-105" w:rightChars="-50"/>
              <w:jc w:val="center"/>
              <w:rPr>
                <w:rFonts w:eastAsia="仿宋"/>
              </w:rPr>
            </w:pPr>
            <w:r>
              <w:rPr>
                <w:rFonts w:eastAsia="仿宋"/>
              </w:rPr>
              <w:t>师生约350人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SSE</w:t>
            </w:r>
          </w:p>
        </w:tc>
        <w:tc>
          <w:tcPr>
            <w:tcW w:w="725" w:type="pct"/>
            <w:noWrap/>
            <w:vAlign w:val="center"/>
          </w:tcPr>
          <w:p>
            <w:pPr>
              <w:adjustRightInd w:val="0"/>
              <w:snapToGrid w:val="0"/>
              <w:ind w:left="-105" w:leftChars="-50" w:right="-105" w:rightChars="-50"/>
              <w:jc w:val="center"/>
              <w:rPr>
                <w:rFonts w:eastAsia="仿宋"/>
              </w:rPr>
            </w:pPr>
            <w:r>
              <w:rPr>
                <w:rFonts w:eastAsia="仿宋"/>
              </w:rPr>
              <w:t>1400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观西村居民集中区</w:t>
            </w:r>
          </w:p>
        </w:tc>
        <w:tc>
          <w:tcPr>
            <w:tcW w:w="536" w:type="pct"/>
            <w:noWrap/>
            <w:vAlign w:val="center"/>
          </w:tcPr>
          <w:p>
            <w:pPr>
              <w:adjustRightInd w:val="0"/>
              <w:snapToGrid w:val="0"/>
              <w:ind w:left="-105" w:leftChars="-50" w:right="-105" w:rightChars="-50"/>
              <w:jc w:val="center"/>
              <w:rPr>
                <w:rFonts w:eastAsia="仿宋"/>
              </w:rPr>
            </w:pPr>
            <w:r>
              <w:rPr>
                <w:rFonts w:eastAsia="仿宋"/>
              </w:rPr>
              <w:t>111.601567</w:t>
            </w:r>
          </w:p>
        </w:tc>
        <w:tc>
          <w:tcPr>
            <w:tcW w:w="537" w:type="pct"/>
            <w:noWrap/>
            <w:vAlign w:val="center"/>
          </w:tcPr>
          <w:p>
            <w:pPr>
              <w:adjustRightInd w:val="0"/>
              <w:snapToGrid w:val="0"/>
              <w:ind w:left="-105" w:leftChars="-50" w:right="-105" w:rightChars="-50"/>
              <w:jc w:val="center"/>
              <w:rPr>
                <w:rFonts w:eastAsia="仿宋"/>
              </w:rPr>
            </w:pPr>
            <w:r>
              <w:rPr>
                <w:rFonts w:eastAsia="仿宋"/>
              </w:rPr>
              <w:t>31.141497</w:t>
            </w:r>
          </w:p>
        </w:tc>
        <w:tc>
          <w:tcPr>
            <w:tcW w:w="838" w:type="pct"/>
            <w:noWrap/>
            <w:vAlign w:val="center"/>
          </w:tcPr>
          <w:p>
            <w:pPr>
              <w:adjustRightInd w:val="0"/>
              <w:snapToGrid w:val="0"/>
              <w:ind w:left="-105" w:leftChars="-50" w:right="-105" w:rightChars="-50"/>
              <w:jc w:val="center"/>
              <w:rPr>
                <w:rFonts w:eastAsia="仿宋"/>
              </w:rPr>
            </w:pPr>
            <w:r>
              <w:rPr>
                <w:rFonts w:eastAsia="仿宋"/>
              </w:rPr>
              <w:t>约210户，520人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N</w:t>
            </w:r>
          </w:p>
        </w:tc>
        <w:tc>
          <w:tcPr>
            <w:tcW w:w="725" w:type="pct"/>
            <w:noWrap/>
            <w:vAlign w:val="center"/>
          </w:tcPr>
          <w:p>
            <w:pPr>
              <w:adjustRightInd w:val="0"/>
              <w:snapToGrid w:val="0"/>
              <w:ind w:left="-105" w:leftChars="-50" w:right="-105" w:rightChars="-50"/>
              <w:jc w:val="center"/>
              <w:rPr>
                <w:rFonts w:eastAsia="仿宋"/>
              </w:rPr>
            </w:pPr>
            <w:r>
              <w:rPr>
                <w:rFonts w:eastAsia="仿宋"/>
              </w:rPr>
              <w:t>1350-2500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五龙村居民集中区</w:t>
            </w:r>
          </w:p>
        </w:tc>
        <w:tc>
          <w:tcPr>
            <w:tcW w:w="536" w:type="pct"/>
            <w:noWrap/>
            <w:vAlign w:val="center"/>
          </w:tcPr>
          <w:p>
            <w:pPr>
              <w:adjustRightInd w:val="0"/>
              <w:snapToGrid w:val="0"/>
              <w:ind w:left="-105" w:leftChars="-50" w:right="-105" w:rightChars="-50"/>
              <w:jc w:val="center"/>
              <w:rPr>
                <w:rFonts w:eastAsia="仿宋"/>
              </w:rPr>
            </w:pPr>
            <w:r>
              <w:rPr>
                <w:rFonts w:eastAsia="仿宋"/>
              </w:rPr>
              <w:t>111.581140</w:t>
            </w:r>
          </w:p>
        </w:tc>
        <w:tc>
          <w:tcPr>
            <w:tcW w:w="537" w:type="pct"/>
            <w:noWrap/>
            <w:vAlign w:val="center"/>
          </w:tcPr>
          <w:p>
            <w:pPr>
              <w:adjustRightInd w:val="0"/>
              <w:snapToGrid w:val="0"/>
              <w:ind w:left="-105" w:leftChars="-50" w:right="-105" w:rightChars="-50"/>
              <w:jc w:val="center"/>
              <w:rPr>
                <w:rFonts w:eastAsia="仿宋"/>
              </w:rPr>
            </w:pPr>
            <w:r>
              <w:rPr>
                <w:rFonts w:eastAsia="仿宋"/>
              </w:rPr>
              <w:t>31.143333</w:t>
            </w:r>
          </w:p>
        </w:tc>
        <w:tc>
          <w:tcPr>
            <w:tcW w:w="838" w:type="pct"/>
            <w:noWrap/>
            <w:vAlign w:val="center"/>
          </w:tcPr>
          <w:p>
            <w:pPr>
              <w:adjustRightInd w:val="0"/>
              <w:snapToGrid w:val="0"/>
              <w:ind w:left="-105" w:leftChars="-50" w:right="-105" w:rightChars="-50"/>
              <w:jc w:val="center"/>
              <w:rPr>
                <w:rFonts w:eastAsia="仿宋"/>
              </w:rPr>
            </w:pPr>
            <w:r>
              <w:rPr>
                <w:rFonts w:eastAsia="仿宋"/>
              </w:rPr>
              <w:t>约280户，670人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NW</w:t>
            </w:r>
          </w:p>
        </w:tc>
        <w:tc>
          <w:tcPr>
            <w:tcW w:w="725" w:type="pct"/>
            <w:noWrap/>
            <w:vAlign w:val="center"/>
          </w:tcPr>
          <w:p>
            <w:pPr>
              <w:adjustRightInd w:val="0"/>
              <w:snapToGrid w:val="0"/>
              <w:ind w:left="-105" w:leftChars="-50" w:right="-105" w:rightChars="-50"/>
              <w:jc w:val="center"/>
              <w:rPr>
                <w:rFonts w:eastAsia="仿宋"/>
              </w:rPr>
            </w:pPr>
            <w:r>
              <w:rPr>
                <w:rFonts w:eastAsia="仿宋"/>
              </w:rPr>
              <w:t>1750-2500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谢家冲、谭家冲、宋家冲、熊家冲散住农户</w:t>
            </w:r>
          </w:p>
        </w:tc>
        <w:tc>
          <w:tcPr>
            <w:tcW w:w="536" w:type="pct"/>
            <w:noWrap/>
            <w:vAlign w:val="center"/>
          </w:tcPr>
          <w:p>
            <w:pPr>
              <w:adjustRightInd w:val="0"/>
              <w:snapToGrid w:val="0"/>
              <w:ind w:left="-105" w:leftChars="-50" w:right="-105" w:rightChars="-50"/>
              <w:jc w:val="center"/>
              <w:rPr>
                <w:rFonts w:eastAsia="仿宋"/>
              </w:rPr>
            </w:pPr>
            <w:r>
              <w:rPr>
                <w:rFonts w:eastAsia="仿宋"/>
              </w:rPr>
              <w:t>111.578157</w:t>
            </w:r>
          </w:p>
        </w:tc>
        <w:tc>
          <w:tcPr>
            <w:tcW w:w="537" w:type="pct"/>
            <w:noWrap/>
            <w:vAlign w:val="center"/>
          </w:tcPr>
          <w:p>
            <w:pPr>
              <w:adjustRightInd w:val="0"/>
              <w:snapToGrid w:val="0"/>
              <w:ind w:left="-105" w:leftChars="-50" w:right="-105" w:rightChars="-50"/>
              <w:jc w:val="center"/>
              <w:rPr>
                <w:rFonts w:eastAsia="仿宋"/>
              </w:rPr>
            </w:pPr>
            <w:r>
              <w:rPr>
                <w:rFonts w:eastAsia="仿宋"/>
              </w:rPr>
              <w:t>31.123442</w:t>
            </w:r>
          </w:p>
        </w:tc>
        <w:tc>
          <w:tcPr>
            <w:tcW w:w="838" w:type="pct"/>
            <w:noWrap/>
            <w:vAlign w:val="center"/>
          </w:tcPr>
          <w:p>
            <w:pPr>
              <w:adjustRightInd w:val="0"/>
              <w:snapToGrid w:val="0"/>
              <w:ind w:left="-105" w:leftChars="-50" w:right="-105" w:rightChars="-50"/>
              <w:jc w:val="center"/>
              <w:rPr>
                <w:rFonts w:eastAsia="仿宋"/>
              </w:rPr>
            </w:pPr>
            <w:r>
              <w:rPr>
                <w:rFonts w:eastAsia="仿宋"/>
              </w:rPr>
              <w:t>约35户，86人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WSW</w:t>
            </w:r>
          </w:p>
        </w:tc>
        <w:tc>
          <w:tcPr>
            <w:tcW w:w="725" w:type="pct"/>
            <w:noWrap/>
            <w:vAlign w:val="center"/>
          </w:tcPr>
          <w:p>
            <w:pPr>
              <w:adjustRightInd w:val="0"/>
              <w:snapToGrid w:val="0"/>
              <w:ind w:left="-105" w:leftChars="-50" w:right="-105" w:rightChars="-50"/>
              <w:jc w:val="center"/>
              <w:rPr>
                <w:rFonts w:eastAsia="仿宋"/>
              </w:rPr>
            </w:pPr>
            <w:r>
              <w:rPr>
                <w:rFonts w:eastAsia="仿宋"/>
              </w:rPr>
              <w:t>1180-2500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曾家台、鹿溪台农户聚集区</w:t>
            </w:r>
          </w:p>
        </w:tc>
        <w:tc>
          <w:tcPr>
            <w:tcW w:w="536" w:type="pct"/>
            <w:noWrap/>
            <w:vAlign w:val="center"/>
          </w:tcPr>
          <w:p>
            <w:pPr>
              <w:adjustRightInd w:val="0"/>
              <w:snapToGrid w:val="0"/>
              <w:ind w:left="-105" w:leftChars="-50" w:right="-105" w:rightChars="-50"/>
              <w:jc w:val="center"/>
              <w:rPr>
                <w:rFonts w:eastAsia="仿宋"/>
              </w:rPr>
            </w:pPr>
            <w:r>
              <w:rPr>
                <w:rFonts w:eastAsia="仿宋"/>
              </w:rPr>
              <w:t>111.601181</w:t>
            </w:r>
          </w:p>
        </w:tc>
        <w:tc>
          <w:tcPr>
            <w:tcW w:w="537" w:type="pct"/>
            <w:noWrap/>
            <w:vAlign w:val="center"/>
          </w:tcPr>
          <w:p>
            <w:pPr>
              <w:adjustRightInd w:val="0"/>
              <w:snapToGrid w:val="0"/>
              <w:ind w:left="-105" w:leftChars="-50" w:right="-105" w:rightChars="-50"/>
              <w:jc w:val="center"/>
              <w:rPr>
                <w:rFonts w:eastAsia="仿宋"/>
              </w:rPr>
            </w:pPr>
            <w:r>
              <w:rPr>
                <w:rFonts w:eastAsia="仿宋"/>
              </w:rPr>
              <w:t>31.107037</w:t>
            </w:r>
          </w:p>
        </w:tc>
        <w:tc>
          <w:tcPr>
            <w:tcW w:w="838" w:type="pct"/>
            <w:noWrap/>
            <w:vAlign w:val="center"/>
          </w:tcPr>
          <w:p>
            <w:pPr>
              <w:adjustRightInd w:val="0"/>
              <w:snapToGrid w:val="0"/>
              <w:ind w:left="-105" w:leftChars="-50" w:right="-105" w:rightChars="-50"/>
              <w:jc w:val="center"/>
              <w:rPr>
                <w:rFonts w:eastAsia="仿宋"/>
              </w:rPr>
            </w:pPr>
            <w:r>
              <w:rPr>
                <w:rFonts w:eastAsia="仿宋"/>
              </w:rPr>
              <w:t>约120户，300人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S</w:t>
            </w:r>
          </w:p>
        </w:tc>
        <w:tc>
          <w:tcPr>
            <w:tcW w:w="725" w:type="pct"/>
            <w:noWrap/>
            <w:vAlign w:val="center"/>
          </w:tcPr>
          <w:p>
            <w:pPr>
              <w:adjustRightInd w:val="0"/>
              <w:snapToGrid w:val="0"/>
              <w:ind w:left="-105" w:leftChars="-50" w:right="-105" w:rightChars="-50"/>
              <w:jc w:val="center"/>
              <w:rPr>
                <w:rFonts w:eastAsia="仿宋"/>
              </w:rPr>
            </w:pPr>
            <w:r>
              <w:rPr>
                <w:rFonts w:eastAsia="仿宋"/>
              </w:rPr>
              <w:t>2140-2500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noWrap/>
            <w:vAlign w:val="center"/>
          </w:tcPr>
          <w:p>
            <w:pPr>
              <w:adjustRightInd w:val="0"/>
              <w:snapToGrid w:val="0"/>
              <w:ind w:left="-105" w:leftChars="-50" w:right="-105" w:rightChars="-50"/>
              <w:jc w:val="center"/>
              <w:rPr>
                <w:rFonts w:eastAsia="仿宋"/>
              </w:rPr>
            </w:pPr>
            <w:r>
              <w:rPr>
                <w:rFonts w:eastAsia="仿宋"/>
              </w:rPr>
              <w:t>声环境</w:t>
            </w:r>
          </w:p>
        </w:tc>
        <w:tc>
          <w:tcPr>
            <w:tcW w:w="920" w:type="pct"/>
            <w:noWrap/>
            <w:vAlign w:val="center"/>
          </w:tcPr>
          <w:p>
            <w:pPr>
              <w:adjustRightInd w:val="0"/>
              <w:snapToGrid w:val="0"/>
              <w:ind w:left="-105" w:leftChars="-50" w:right="-105" w:rightChars="-50"/>
              <w:jc w:val="center"/>
              <w:rPr>
                <w:rFonts w:eastAsia="仿宋"/>
              </w:rPr>
            </w:pPr>
            <w:r>
              <w:rPr>
                <w:rFonts w:eastAsia="仿宋"/>
              </w:rPr>
              <w:t>七里社区散住农户</w:t>
            </w:r>
          </w:p>
        </w:tc>
        <w:tc>
          <w:tcPr>
            <w:tcW w:w="536" w:type="pct"/>
            <w:noWrap/>
            <w:vAlign w:val="center"/>
          </w:tcPr>
          <w:p>
            <w:pPr>
              <w:adjustRightInd w:val="0"/>
              <w:snapToGrid w:val="0"/>
              <w:ind w:left="-105" w:leftChars="-50" w:right="-105" w:rightChars="-50"/>
              <w:jc w:val="center"/>
              <w:rPr>
                <w:rFonts w:eastAsia="仿宋"/>
              </w:rPr>
            </w:pPr>
            <w:r>
              <w:rPr>
                <w:rFonts w:eastAsia="仿宋"/>
              </w:rPr>
              <w:t>111.592898</w:t>
            </w:r>
          </w:p>
        </w:tc>
        <w:tc>
          <w:tcPr>
            <w:tcW w:w="537" w:type="pct"/>
            <w:noWrap/>
            <w:vAlign w:val="center"/>
          </w:tcPr>
          <w:p>
            <w:pPr>
              <w:adjustRightInd w:val="0"/>
              <w:snapToGrid w:val="0"/>
              <w:ind w:left="-105" w:leftChars="-50" w:right="-105" w:rightChars="-50"/>
              <w:jc w:val="center"/>
              <w:rPr>
                <w:rFonts w:eastAsia="仿宋"/>
              </w:rPr>
            </w:pPr>
            <w:r>
              <w:rPr>
                <w:rFonts w:eastAsia="仿宋"/>
              </w:rPr>
              <w:t>31.13188</w:t>
            </w:r>
          </w:p>
        </w:tc>
        <w:tc>
          <w:tcPr>
            <w:tcW w:w="838" w:type="pct"/>
            <w:noWrap/>
            <w:vAlign w:val="center"/>
          </w:tcPr>
          <w:p>
            <w:pPr>
              <w:adjustRightInd w:val="0"/>
              <w:snapToGrid w:val="0"/>
              <w:ind w:left="-105" w:leftChars="-50" w:right="-105" w:rightChars="-50"/>
              <w:jc w:val="center"/>
              <w:rPr>
                <w:rFonts w:eastAsia="仿宋"/>
              </w:rPr>
            </w:pPr>
            <w:r>
              <w:rPr>
                <w:rFonts w:eastAsia="仿宋"/>
              </w:rPr>
              <w:t>4户，10人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noWrap/>
            <w:vAlign w:val="center"/>
          </w:tcPr>
          <w:p>
            <w:pPr>
              <w:adjustRightInd w:val="0"/>
              <w:snapToGrid w:val="0"/>
              <w:ind w:left="-105" w:leftChars="-50" w:right="-105" w:rightChars="-50"/>
              <w:jc w:val="center"/>
              <w:rPr>
                <w:rFonts w:eastAsia="仿宋"/>
              </w:rPr>
            </w:pPr>
            <w:r>
              <w:rPr>
                <w:rFonts w:eastAsia="仿宋"/>
              </w:rPr>
              <w:t>2类</w:t>
            </w:r>
          </w:p>
        </w:tc>
        <w:tc>
          <w:tcPr>
            <w:tcW w:w="391" w:type="pct"/>
            <w:noWrap/>
            <w:vAlign w:val="center"/>
          </w:tcPr>
          <w:p>
            <w:pPr>
              <w:adjustRightInd w:val="0"/>
              <w:snapToGrid w:val="0"/>
              <w:ind w:left="-105" w:leftChars="-50" w:right="-105" w:rightChars="-50"/>
              <w:jc w:val="center"/>
              <w:rPr>
                <w:rFonts w:eastAsia="仿宋"/>
              </w:rPr>
            </w:pPr>
            <w:r>
              <w:rPr>
                <w:rFonts w:eastAsia="仿宋"/>
              </w:rPr>
              <w:t>N</w:t>
            </w:r>
          </w:p>
        </w:tc>
        <w:tc>
          <w:tcPr>
            <w:tcW w:w="725" w:type="pct"/>
            <w:noWrap/>
            <w:vAlign w:val="center"/>
          </w:tcPr>
          <w:p>
            <w:pPr>
              <w:adjustRightInd w:val="0"/>
              <w:snapToGrid w:val="0"/>
              <w:ind w:left="-105" w:leftChars="-50" w:right="-105" w:rightChars="-50"/>
              <w:jc w:val="center"/>
              <w:rPr>
                <w:rFonts w:eastAsia="仿宋"/>
              </w:rPr>
            </w:pPr>
            <w:r>
              <w:rPr>
                <w:rFonts w:eastAsia="仿宋"/>
              </w:rPr>
              <w:t>700-985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noWrap/>
            <w:vAlign w:val="center"/>
          </w:tcPr>
          <w:p>
            <w:pPr>
              <w:adjustRightInd w:val="0"/>
              <w:snapToGrid w:val="0"/>
              <w:ind w:left="-105" w:leftChars="-50" w:right="-105" w:rightChars="-50"/>
              <w:jc w:val="center"/>
              <w:rPr>
                <w:rFonts w:eastAsia="仿宋"/>
              </w:rPr>
            </w:pPr>
            <w:r>
              <w:rPr>
                <w:rFonts w:eastAsia="仿宋"/>
              </w:rPr>
              <w:t>水环境</w:t>
            </w:r>
          </w:p>
        </w:tc>
        <w:tc>
          <w:tcPr>
            <w:tcW w:w="920" w:type="pct"/>
            <w:noWrap/>
            <w:vAlign w:val="center"/>
          </w:tcPr>
          <w:p>
            <w:pPr>
              <w:adjustRightInd w:val="0"/>
              <w:snapToGrid w:val="0"/>
              <w:ind w:left="-105" w:leftChars="-50" w:right="-105" w:rightChars="-50"/>
              <w:jc w:val="center"/>
              <w:rPr>
                <w:rFonts w:eastAsia="仿宋"/>
              </w:rPr>
            </w:pPr>
            <w:r>
              <w:rPr>
                <w:rFonts w:eastAsia="仿宋"/>
              </w:rPr>
              <w:t>沮河远安段</w:t>
            </w:r>
          </w:p>
        </w:tc>
        <w:tc>
          <w:tcPr>
            <w:tcW w:w="536" w:type="pct"/>
            <w:noWrap/>
            <w:vAlign w:val="center"/>
          </w:tcPr>
          <w:p>
            <w:pPr>
              <w:adjustRightInd w:val="0"/>
              <w:snapToGrid w:val="0"/>
              <w:ind w:left="-105" w:leftChars="-50" w:right="-105" w:rightChars="-50"/>
              <w:jc w:val="center"/>
              <w:rPr>
                <w:rFonts w:eastAsia="仿宋"/>
              </w:rPr>
            </w:pPr>
            <w:r>
              <w:rPr>
                <w:rFonts w:eastAsia="仿宋"/>
              </w:rPr>
              <w:t>—</w:t>
            </w:r>
          </w:p>
        </w:tc>
        <w:tc>
          <w:tcPr>
            <w:tcW w:w="537" w:type="pct"/>
            <w:noWrap/>
            <w:vAlign w:val="center"/>
          </w:tcPr>
          <w:p>
            <w:pPr>
              <w:adjustRightInd w:val="0"/>
              <w:snapToGrid w:val="0"/>
              <w:ind w:left="-105" w:leftChars="-50" w:right="-105" w:rightChars="-50"/>
              <w:jc w:val="center"/>
              <w:rPr>
                <w:rFonts w:eastAsia="仿宋"/>
              </w:rPr>
            </w:pPr>
            <w:r>
              <w:rPr>
                <w:rFonts w:eastAsia="仿宋"/>
              </w:rPr>
              <w:t>—</w:t>
            </w:r>
          </w:p>
        </w:tc>
        <w:tc>
          <w:tcPr>
            <w:tcW w:w="838" w:type="pct"/>
            <w:noWrap/>
            <w:vAlign w:val="center"/>
          </w:tcPr>
          <w:p>
            <w:pPr>
              <w:adjustRightInd w:val="0"/>
              <w:snapToGrid w:val="0"/>
              <w:ind w:left="-105" w:leftChars="-50" w:right="-105" w:rightChars="-50"/>
              <w:jc w:val="center"/>
              <w:rPr>
                <w:rFonts w:eastAsia="仿宋"/>
              </w:rPr>
            </w:pPr>
            <w:r>
              <w:rPr>
                <w:rFonts w:eastAsia="仿宋"/>
              </w:rPr>
              <w:t>沮河</w:t>
            </w:r>
          </w:p>
        </w:tc>
        <w:tc>
          <w:tcPr>
            <w:tcW w:w="456" w:type="pct"/>
            <w:noWrap/>
            <w:vAlign w:val="center"/>
          </w:tcPr>
          <w:p>
            <w:pPr>
              <w:adjustRightInd w:val="0"/>
              <w:snapToGrid w:val="0"/>
              <w:ind w:left="-105" w:leftChars="-50" w:right="-105" w:rightChars="-50"/>
              <w:jc w:val="center"/>
              <w:rPr>
                <w:rFonts w:eastAsia="仿宋"/>
              </w:rPr>
            </w:pPr>
            <w:r>
              <w:rPr>
                <w:rFonts w:eastAsia="仿宋"/>
              </w:rPr>
              <w:t>水质</w:t>
            </w:r>
          </w:p>
        </w:tc>
        <w:tc>
          <w:tcPr>
            <w:tcW w:w="385" w:type="pct"/>
            <w:noWrap/>
            <w:vAlign w:val="center"/>
          </w:tcPr>
          <w:p>
            <w:pPr>
              <w:adjustRightInd w:val="0"/>
              <w:snapToGrid w:val="0"/>
              <w:ind w:left="-105" w:leftChars="-50" w:right="-105" w:rightChars="-50"/>
              <w:jc w:val="center"/>
              <w:rPr>
                <w:rFonts w:eastAsia="仿宋"/>
              </w:rPr>
            </w:pPr>
            <w:r>
              <w:rPr>
                <w:rFonts w:eastAsia="仿宋"/>
              </w:rPr>
              <w:t>III类</w:t>
            </w:r>
          </w:p>
        </w:tc>
        <w:tc>
          <w:tcPr>
            <w:tcW w:w="391" w:type="pct"/>
            <w:noWrap/>
            <w:vAlign w:val="center"/>
          </w:tcPr>
          <w:p>
            <w:pPr>
              <w:adjustRightInd w:val="0"/>
              <w:snapToGrid w:val="0"/>
              <w:ind w:left="-105" w:leftChars="-50" w:right="-105" w:rightChars="-50"/>
              <w:jc w:val="center"/>
              <w:rPr>
                <w:rFonts w:eastAsia="仿宋"/>
              </w:rPr>
            </w:pPr>
            <w:r>
              <w:rPr>
                <w:rFonts w:eastAsia="仿宋"/>
              </w:rPr>
              <w:t>N、E</w:t>
            </w:r>
          </w:p>
        </w:tc>
        <w:tc>
          <w:tcPr>
            <w:tcW w:w="725" w:type="pct"/>
            <w:noWrap/>
            <w:vAlign w:val="center"/>
          </w:tcPr>
          <w:p>
            <w:pPr>
              <w:adjustRightInd w:val="0"/>
              <w:snapToGrid w:val="0"/>
              <w:ind w:left="-105" w:leftChars="-50" w:right="-105" w:rightChars="-50"/>
              <w:jc w:val="center"/>
              <w:rPr>
                <w:rFonts w:eastAsia="仿宋"/>
              </w:rPr>
            </w:pPr>
            <w:r>
              <w:rPr>
                <w:rFonts w:eastAsia="仿宋"/>
              </w:rPr>
              <w:t>1300</w:t>
            </w:r>
          </w:p>
        </w:tc>
      </w:tr>
    </w:tbl>
    <w:p>
      <w:pPr>
        <w:pStyle w:val="6"/>
        <w:spacing w:before="0" w:beforeAutospacing="0" w:line="520" w:lineRule="exact"/>
        <w:ind w:left="0" w:firstLine="0"/>
      </w:pPr>
      <w:bookmarkStart w:id="37" w:name="_Toc25944"/>
      <w:r>
        <w:t>污染物产生、治理及排放情况</w:t>
      </w:r>
      <w:bookmarkEnd w:id="36"/>
      <w:bookmarkEnd w:id="37"/>
    </w:p>
    <w:p>
      <w:pPr>
        <w:pStyle w:val="134"/>
        <w:spacing w:line="520" w:lineRule="exact"/>
        <w:ind w:firstLine="560"/>
        <w:rPr>
          <w:rFonts w:eastAsia="仿宋"/>
          <w:color w:val="auto"/>
          <w:sz w:val="28"/>
          <w:szCs w:val="28"/>
        </w:rPr>
      </w:pPr>
      <w:bookmarkStart w:id="38" w:name="_Toc472856694"/>
      <w:bookmarkStart w:id="39" w:name="_Toc430788066"/>
      <w:r>
        <w:rPr>
          <w:rFonts w:eastAsia="仿宋"/>
          <w:color w:val="auto"/>
          <w:sz w:val="28"/>
          <w:szCs w:val="28"/>
        </w:rPr>
        <w:t>项目工艺采用黄磷经二级氯化法工艺，一级氯化通过改进中间体精馏塔设计，避免了杂质进入后续反应中，保障了最终产品的质量。并将二级通氯同时进行的工艺改进为反应釜底部和反应釜中部同时异向通氯，同时在停止通氯后，通入氮气，避免因暂停通氯造成物料堵塞管道，消除了喷淋头</w:t>
      </w:r>
      <w:r>
        <w:rPr>
          <w:rFonts w:hint="eastAsia" w:ascii="仿宋" w:hAnsi="仿宋" w:eastAsia="仿宋" w:cs="仿宋"/>
          <w:color w:val="auto"/>
          <w:sz w:val="28"/>
          <w:szCs w:val="28"/>
        </w:rPr>
        <w:t>“</w:t>
      </w:r>
      <w:r>
        <w:rPr>
          <w:rFonts w:eastAsia="仿宋"/>
          <w:color w:val="auto"/>
          <w:sz w:val="28"/>
          <w:szCs w:val="28"/>
        </w:rPr>
        <w:t>堵料</w:t>
      </w:r>
      <w:r>
        <w:rPr>
          <w:rFonts w:hint="eastAsia" w:ascii="仿宋" w:hAnsi="仿宋" w:eastAsia="仿宋" w:cs="仿宋"/>
          <w:color w:val="auto"/>
          <w:sz w:val="28"/>
          <w:szCs w:val="28"/>
        </w:rPr>
        <w:t>”</w:t>
      </w:r>
      <w:r>
        <w:rPr>
          <w:rFonts w:eastAsia="仿宋"/>
          <w:color w:val="auto"/>
          <w:sz w:val="28"/>
          <w:szCs w:val="28"/>
        </w:rPr>
        <w:t>现象，工艺安全性得到显著提高；与此同时，通入氮气做为助推剂，将产品更高效赶出，便于产品收集。项目同时选用了耐腐蚀的反应器材质，二级氯化改进了反应釜搅拌桨结构，采用螺带式搅拌，使物料上下翻动，提高了反应和干燥效能，避免了物料结块。最终产出高纯度，直接符合电子级质量要求的五氯化磷，以满足航天动力材料聚磷腈的生产。</w:t>
      </w:r>
    </w:p>
    <w:p>
      <w:pPr>
        <w:pStyle w:val="134"/>
        <w:spacing w:line="520" w:lineRule="exact"/>
        <w:ind w:firstLine="560"/>
        <w:rPr>
          <w:rFonts w:eastAsia="仿宋"/>
          <w:color w:val="auto"/>
          <w:sz w:val="28"/>
          <w:szCs w:val="28"/>
        </w:rPr>
      </w:pPr>
      <w:r>
        <w:rPr>
          <w:rFonts w:eastAsia="仿宋"/>
          <w:color w:val="auto"/>
          <w:sz w:val="28"/>
          <w:szCs w:val="28"/>
        </w:rPr>
        <w:t>项目主要原材料有黄磷、液氯、液碱、氢氧化钙等，其中，液态黄磷经罐车运至厂区，经罐车自带夹套保温管线以虹吸原理进入地下黄磷储罐，地下储罐采用水封密闭，定期补充蒸发损耗水量，储罐周边设置5 m</w:t>
      </w:r>
      <w:r>
        <w:rPr>
          <w:rFonts w:eastAsia="仿宋"/>
          <w:color w:val="auto"/>
          <w:sz w:val="28"/>
          <w:szCs w:val="28"/>
          <w:vertAlign w:val="superscript"/>
        </w:rPr>
        <w:t>3</w:t>
      </w:r>
      <w:r>
        <w:rPr>
          <w:rFonts w:eastAsia="仿宋"/>
          <w:color w:val="auto"/>
          <w:sz w:val="28"/>
          <w:szCs w:val="28"/>
        </w:rPr>
        <w:t>溢流槽，用以暂存日常溢流和黄磷地槽清洁时溢流的水封水；液氯也以罐车运至厂区，以汽化方式加压通过密封管道进入液氯储罐；液碱为企业自行配制，经外购片碱加水后调至所需浓度，所购片碱为袋装，储存于甲类厂房；外购氢氧化钙也为袋装，储存于甲类厂房。项目主要生产工艺如下：</w:t>
      </w:r>
    </w:p>
    <w:p>
      <w:pPr>
        <w:pStyle w:val="134"/>
        <w:spacing w:line="520" w:lineRule="exact"/>
        <w:ind w:firstLine="560"/>
        <w:rPr>
          <w:rFonts w:eastAsia="仿宋"/>
          <w:color w:val="auto"/>
          <w:sz w:val="28"/>
          <w:szCs w:val="28"/>
        </w:rPr>
      </w:pPr>
      <w:r>
        <w:rPr>
          <w:rFonts w:eastAsia="仿宋"/>
          <w:color w:val="auto"/>
          <w:sz w:val="28"/>
          <w:szCs w:val="28"/>
        </w:rPr>
        <w:t>①一级氯化反应</w:t>
      </w:r>
    </w:p>
    <w:p>
      <w:pPr>
        <w:pStyle w:val="134"/>
        <w:spacing w:line="520" w:lineRule="exact"/>
        <w:ind w:firstLine="560"/>
        <w:rPr>
          <w:rFonts w:eastAsia="仿宋"/>
          <w:color w:val="auto"/>
          <w:sz w:val="28"/>
          <w:szCs w:val="28"/>
        </w:rPr>
      </w:pPr>
      <w:r>
        <w:rPr>
          <w:rFonts w:eastAsia="仿宋"/>
          <w:color w:val="auto"/>
          <w:sz w:val="28"/>
          <w:szCs w:val="28"/>
        </w:rPr>
        <w:t>将黄磷从静置储罐（黄磷地槽）经黄磷液下泵泵入黄磷静置罐，而后通过计量罐计量后，通入氯化釜（一次氯化器）；液氯储罐内液氯经过液氯汽化器汽化后进入缓冲罐缓冲，而后通过分配器分别进入一次氯化器和二级氯化器进行氯化反应；</w:t>
      </w:r>
    </w:p>
    <w:p>
      <w:pPr>
        <w:pStyle w:val="134"/>
        <w:ind w:firstLine="0" w:firstLineChars="0"/>
        <w:jc w:val="center"/>
        <w:rPr>
          <w:color w:val="auto"/>
        </w:rPr>
      </w:pPr>
      <w:r>
        <w:rPr>
          <w:rFonts w:hint="eastAsia"/>
          <w:color w:val="auto"/>
          <w:position w:val="-12"/>
        </w:rPr>
        <w:object>
          <v:shape id="_x0000_i1027" o:spt="75" type="#_x0000_t75" style="height:18pt;width:88pt;" o:ole="t" filled="f" o:preferrelative="t" stroked="f" coordsize="21600,21600">
            <v:path/>
            <v:fill on="f" focussize="0,0"/>
            <v:stroke on="f" joinstyle="miter"/>
            <v:imagedata r:id="rId12" o:title=""/>
            <o:lock v:ext="edit" aspectratio="t"/>
            <w10:wrap type="none"/>
            <w10:anchorlock/>
          </v:shape>
          <o:OLEObject Type="Embed" ProgID="Equation.3" ShapeID="_x0000_i1027" DrawAspect="Content" ObjectID="_1468075727" r:id="rId11">
            <o:LockedField>false</o:LockedField>
          </o:OLEObject>
        </w:object>
      </w:r>
    </w:p>
    <w:p>
      <w:pPr>
        <w:pStyle w:val="134"/>
        <w:spacing w:line="520" w:lineRule="exact"/>
        <w:ind w:firstLine="560"/>
        <w:rPr>
          <w:rFonts w:eastAsia="仿宋"/>
          <w:color w:val="auto"/>
          <w:sz w:val="28"/>
          <w:szCs w:val="28"/>
        </w:rPr>
      </w:pPr>
      <w:r>
        <w:rPr>
          <w:rFonts w:hint="eastAsia" w:eastAsia="仿宋"/>
          <w:color w:val="auto"/>
          <w:sz w:val="28"/>
          <w:szCs w:val="28"/>
        </w:rPr>
        <w:t>一级氯化反应过程中黄磷过量，反应会残留部分黄磷和杂质，后期通过精馏方式气态物质进入下一步反应，固态物质暂沉于一级氯化器底部，而后每半年清运一次并暂存于危废暂存间。由于反应放热，本过程采用间接循环冷却水冷却降温，以维持一级氯化器在固定温度范围内；一级氯化反应过程中，三氯化磷和部分杂质会以气体形式存在于尾气</w:t>
      </w:r>
      <w:r>
        <w:rPr>
          <w:rFonts w:eastAsia="仿宋"/>
          <w:color w:val="auto"/>
          <w:sz w:val="28"/>
          <w:szCs w:val="28"/>
        </w:rPr>
        <w:t>1</w:t>
      </w:r>
      <w:r>
        <w:rPr>
          <w:rFonts w:hint="eastAsia" w:eastAsia="仿宋"/>
          <w:color w:val="auto"/>
          <w:sz w:val="28"/>
          <w:szCs w:val="28"/>
        </w:rPr>
        <w:t>中。</w:t>
      </w:r>
    </w:p>
    <w:p>
      <w:pPr>
        <w:pStyle w:val="134"/>
        <w:spacing w:line="520" w:lineRule="exact"/>
        <w:ind w:firstLine="560"/>
        <w:rPr>
          <w:rFonts w:eastAsia="仿宋"/>
          <w:color w:val="auto"/>
          <w:sz w:val="28"/>
          <w:szCs w:val="28"/>
        </w:rPr>
      </w:pPr>
      <w:r>
        <w:rPr>
          <w:rFonts w:hint="eastAsia" w:eastAsia="仿宋"/>
          <w:color w:val="auto"/>
          <w:sz w:val="28"/>
          <w:szCs w:val="28"/>
        </w:rPr>
        <w:t>②二级氯化反应</w:t>
      </w:r>
    </w:p>
    <w:p>
      <w:pPr>
        <w:pStyle w:val="134"/>
        <w:spacing w:line="520" w:lineRule="exact"/>
        <w:ind w:firstLine="560"/>
        <w:rPr>
          <w:rFonts w:eastAsia="仿宋"/>
          <w:color w:val="auto"/>
          <w:sz w:val="28"/>
          <w:szCs w:val="28"/>
        </w:rPr>
      </w:pPr>
      <w:r>
        <w:rPr>
          <w:rFonts w:hint="eastAsia" w:eastAsia="仿宋"/>
          <w:color w:val="auto"/>
          <w:sz w:val="28"/>
          <w:szCs w:val="28"/>
        </w:rPr>
        <w:t>一级氯化反应产物经中间罐过渡性储存和计量后进入二级氯化器，一级氯化反应过程中的经汽化后液氯经分配器分配也进入二级氯化器参与氯化反应。氯化反应产热，八台氯化釜采用间接循环冷却水冷却降温，二次氯化完成后进行冷却，出料包装后得到产品。</w:t>
      </w:r>
    </w:p>
    <w:p>
      <w:pPr>
        <w:pStyle w:val="134"/>
        <w:ind w:firstLine="0" w:firstLineChars="0"/>
        <w:jc w:val="center"/>
        <w:rPr>
          <w:color w:val="auto"/>
        </w:rPr>
      </w:pPr>
      <w:r>
        <w:rPr>
          <w:rFonts w:hint="eastAsia"/>
          <w:color w:val="auto"/>
          <w:position w:val="-12"/>
        </w:rPr>
        <w:object>
          <v:shape id="_x0000_i1028" o:spt="75" type="#_x0000_t75" style="height:18pt;width:89pt;" o:ole="t" filled="f" o:preferrelative="t" stroked="f" coordsize="21600,21600">
            <v:path/>
            <v:fill on="f" focussize="0,0"/>
            <v:stroke on="f" joinstyle="miter"/>
            <v:imagedata r:id="rId14" o:title=""/>
            <o:lock v:ext="edit" aspectratio="t"/>
            <w10:wrap type="none"/>
            <w10:anchorlock/>
          </v:shape>
          <o:OLEObject Type="Embed" ProgID="Equation.3" ShapeID="_x0000_i1028" DrawAspect="Content" ObjectID="_1468075728" r:id="rId13">
            <o:LockedField>false</o:LockedField>
          </o:OLEObject>
        </w:object>
      </w:r>
    </w:p>
    <w:p>
      <w:pPr>
        <w:pStyle w:val="134"/>
        <w:spacing w:line="520" w:lineRule="exact"/>
        <w:ind w:firstLine="560"/>
        <w:rPr>
          <w:rFonts w:eastAsia="仿宋"/>
          <w:color w:val="auto"/>
          <w:sz w:val="28"/>
          <w:szCs w:val="28"/>
        </w:rPr>
      </w:pPr>
      <w:r>
        <w:rPr>
          <w:rFonts w:hint="eastAsia" w:eastAsia="仿宋"/>
          <w:color w:val="auto"/>
          <w:sz w:val="28"/>
          <w:szCs w:val="28"/>
        </w:rPr>
        <w:t>二级氯化过程中，在停止通氯后通入适量氮气，避免因暂停通氯造成物料堵塞管道，消除了喷淋头“堵料”现象；与此同时，通入氮气做为助推剂，将产品更高效赶出，便于产品收集。</w:t>
      </w:r>
    </w:p>
    <w:p>
      <w:pPr>
        <w:pStyle w:val="134"/>
        <w:spacing w:line="520" w:lineRule="exact"/>
        <w:ind w:firstLine="560"/>
        <w:rPr>
          <w:rFonts w:eastAsia="仿宋"/>
          <w:color w:val="auto"/>
          <w:sz w:val="28"/>
          <w:szCs w:val="28"/>
        </w:rPr>
      </w:pPr>
      <w:r>
        <w:rPr>
          <w:rFonts w:hint="eastAsia" w:eastAsia="仿宋"/>
          <w:color w:val="auto"/>
          <w:sz w:val="28"/>
          <w:szCs w:val="28"/>
        </w:rPr>
        <w:t>二级氯化过程氯气过量，反应残留部分氯气和杂质存在于尾气</w:t>
      </w:r>
      <w:r>
        <w:rPr>
          <w:rFonts w:eastAsia="仿宋"/>
          <w:color w:val="auto"/>
          <w:sz w:val="28"/>
          <w:szCs w:val="28"/>
        </w:rPr>
        <w:t>2</w:t>
      </w:r>
      <w:r>
        <w:rPr>
          <w:rFonts w:hint="eastAsia" w:eastAsia="仿宋"/>
          <w:color w:val="auto"/>
          <w:sz w:val="28"/>
          <w:szCs w:val="28"/>
        </w:rPr>
        <w:t>中；二级氯化反应过程中，五氯化磷、三氯化磷和部分杂质会以气体形式存在于尾气</w:t>
      </w:r>
      <w:r>
        <w:rPr>
          <w:rFonts w:eastAsia="仿宋"/>
          <w:color w:val="auto"/>
          <w:sz w:val="28"/>
          <w:szCs w:val="28"/>
        </w:rPr>
        <w:t>2</w:t>
      </w:r>
      <w:r>
        <w:rPr>
          <w:rFonts w:hint="eastAsia" w:eastAsia="仿宋"/>
          <w:color w:val="auto"/>
          <w:sz w:val="28"/>
          <w:szCs w:val="28"/>
        </w:rPr>
        <w:t>中。</w:t>
      </w:r>
    </w:p>
    <w:p>
      <w:pPr>
        <w:pStyle w:val="134"/>
        <w:spacing w:line="520" w:lineRule="exact"/>
        <w:ind w:firstLine="560"/>
        <w:rPr>
          <w:rFonts w:eastAsia="仿宋"/>
          <w:color w:val="auto"/>
          <w:sz w:val="28"/>
          <w:szCs w:val="28"/>
        </w:rPr>
      </w:pPr>
      <w:r>
        <w:rPr>
          <w:rFonts w:eastAsia="仿宋"/>
          <w:color w:val="auto"/>
          <w:sz w:val="28"/>
          <w:szCs w:val="28"/>
        </w:rPr>
        <w:t>③</w:t>
      </w:r>
      <w:r>
        <w:rPr>
          <w:rFonts w:hint="eastAsia" w:eastAsia="仿宋"/>
          <w:color w:val="auto"/>
          <w:sz w:val="28"/>
          <w:szCs w:val="28"/>
        </w:rPr>
        <w:t>副产磷酸钙</w:t>
      </w:r>
    </w:p>
    <w:p>
      <w:pPr>
        <w:pStyle w:val="134"/>
        <w:spacing w:line="520" w:lineRule="exact"/>
        <w:ind w:firstLine="560"/>
        <w:rPr>
          <w:rFonts w:eastAsia="仿宋"/>
          <w:color w:val="auto"/>
          <w:sz w:val="28"/>
          <w:szCs w:val="28"/>
        </w:rPr>
      </w:pPr>
      <w:r>
        <w:rPr>
          <w:rFonts w:hint="eastAsia" w:eastAsia="仿宋"/>
          <w:color w:val="auto"/>
          <w:sz w:val="28"/>
          <w:szCs w:val="28"/>
        </w:rPr>
        <w:t>项目一级氯化器产生尾气1经自流管道进入一级吸收塔；中间罐和二级氯化器由于无法产生真空和负压，通过管道连接真空泵进入一级吸收塔；包装过程为独立密闭车间，采用真空密闭后经管道进入一级吸收塔。尾气</w:t>
      </w:r>
      <w:r>
        <w:rPr>
          <w:rFonts w:eastAsia="仿宋"/>
          <w:color w:val="auto"/>
          <w:sz w:val="28"/>
          <w:szCs w:val="28"/>
        </w:rPr>
        <w:t>1</w:t>
      </w:r>
      <w:r>
        <w:rPr>
          <w:rFonts w:hint="eastAsia" w:eastAsia="仿宋"/>
          <w:color w:val="auto"/>
          <w:sz w:val="28"/>
          <w:szCs w:val="28"/>
        </w:rPr>
        <w:t>和尾气</w:t>
      </w:r>
      <w:r>
        <w:rPr>
          <w:rFonts w:eastAsia="仿宋"/>
          <w:color w:val="auto"/>
          <w:sz w:val="28"/>
          <w:szCs w:val="28"/>
        </w:rPr>
        <w:t>2</w:t>
      </w:r>
      <w:r>
        <w:rPr>
          <w:rFonts w:hint="eastAsia" w:eastAsia="仿宋"/>
          <w:color w:val="auto"/>
          <w:sz w:val="28"/>
          <w:szCs w:val="28"/>
        </w:rPr>
        <w:t>中三氯化磷和五氯化磷遇水发生反应，产生亚磷酸、磷酸和氯化氢。一级吸收塔吸收后，剩余尾气自流进入三级降膜吸收塔，经水洗后尾气吸收液进入中和反应池，并在其中加入氢氧化钙，反应后经压滤产生含磷酸钙、氯化钙、杂质和水的副产磷酸钙，滤渣经水洗去除可溶物。</w:t>
      </w:r>
    </w:p>
    <w:p>
      <w:pPr>
        <w:pStyle w:val="134"/>
        <w:ind w:firstLine="0" w:firstLineChars="0"/>
        <w:jc w:val="center"/>
        <w:rPr>
          <w:color w:val="auto"/>
        </w:rPr>
      </w:pPr>
      <w:r>
        <w:rPr>
          <w:rFonts w:hint="eastAsia"/>
          <w:color w:val="auto"/>
          <w:position w:val="-12"/>
        </w:rPr>
        <w:object>
          <v:shape id="_x0000_i1029" o:spt="75" type="#_x0000_t75" style="height:18pt;width:150pt;" o:ole="t" filled="f" o:preferrelative="t" stroked="f" coordsize="21600,21600">
            <v:path/>
            <v:fill on="f" focussize="0,0"/>
            <v:stroke on="f" joinstyle="miter"/>
            <v:imagedata r:id="rId16" o:title=""/>
            <o:lock v:ext="edit" aspectratio="t"/>
            <w10:wrap type="none"/>
            <w10:anchorlock/>
          </v:shape>
          <o:OLEObject Type="Embed" ProgID="Equation.3" ShapeID="_x0000_i1029" DrawAspect="Content" ObjectID="_1468075729" r:id="rId15">
            <o:LockedField>false</o:LockedField>
          </o:OLEObject>
        </w:object>
      </w:r>
    </w:p>
    <w:p>
      <w:pPr>
        <w:pStyle w:val="134"/>
        <w:ind w:firstLine="0" w:firstLineChars="0"/>
        <w:jc w:val="center"/>
        <w:rPr>
          <w:color w:val="auto"/>
        </w:rPr>
      </w:pPr>
      <w:r>
        <w:rPr>
          <w:rFonts w:hint="eastAsia"/>
          <w:color w:val="auto"/>
          <w:position w:val="-12"/>
        </w:rPr>
        <w:object>
          <v:shape id="_x0000_i1030" o:spt="75" type="#_x0000_t75" style="height:18pt;width:152pt;" o:ole="t" filled="f" o:preferrelative="t" stroked="f" coordsize="21600,21600">
            <v:path/>
            <v:fill on="f" focussize="0,0"/>
            <v:stroke on="f" joinstyle="miter"/>
            <v:imagedata r:id="rId18" o:title=""/>
            <o:lock v:ext="edit" aspectratio="t"/>
            <w10:wrap type="none"/>
            <w10:anchorlock/>
          </v:shape>
          <o:OLEObject Type="Embed" ProgID="Equation.3" ShapeID="_x0000_i1030" DrawAspect="Content" ObjectID="_1468075730" r:id="rId17">
            <o:LockedField>false</o:LockedField>
          </o:OLEObject>
        </w:object>
      </w:r>
    </w:p>
    <w:p>
      <w:pPr>
        <w:pStyle w:val="134"/>
        <w:jc w:val="center"/>
        <w:rPr>
          <w:color w:val="auto"/>
        </w:rPr>
      </w:pPr>
      <w:r>
        <w:rPr>
          <w:rFonts w:hint="eastAsia"/>
          <w:color w:val="auto"/>
          <w:position w:val="-12"/>
        </w:rPr>
        <w:object>
          <v:shape id="_x0000_i1031" o:spt="75" type="#_x0000_t75" style="height:18pt;width:183pt;" o:ole="t" filled="f" o:preferrelative="t" stroked="f" coordsize="21600,21600">
            <v:path/>
            <v:fill on="f" focussize="0,0"/>
            <v:stroke on="f" joinstyle="miter"/>
            <v:imagedata r:id="rId20" o:title=""/>
            <o:lock v:ext="edit" aspectratio="t"/>
            <w10:wrap type="none"/>
            <w10:anchorlock/>
          </v:shape>
          <o:OLEObject Type="Embed" ProgID="Equation.3" ShapeID="_x0000_i1031" DrawAspect="Content" ObjectID="_1468075731" r:id="rId19">
            <o:LockedField>false</o:LockedField>
          </o:OLEObject>
        </w:object>
      </w:r>
    </w:p>
    <w:p>
      <w:pPr>
        <w:pStyle w:val="134"/>
        <w:ind w:firstLine="0" w:firstLineChars="0"/>
        <w:jc w:val="center"/>
        <w:rPr>
          <w:color w:val="auto"/>
        </w:rPr>
      </w:pPr>
      <w:r>
        <w:rPr>
          <w:color w:val="auto"/>
          <w:position w:val="-12"/>
        </w:rPr>
        <w:object>
          <v:shape id="_x0000_i1032" o:spt="75" type="#_x0000_t75" style="height:18pt;width:209pt;" o:ole="t" filled="f" o:preferrelative="t" stroked="f" coordsize="21600,21600">
            <v:path/>
            <v:fill on="f" focussize="0,0"/>
            <v:stroke on="f" joinstyle="miter"/>
            <v:imagedata r:id="rId22" o:title=""/>
            <o:lock v:ext="edit" aspectratio="t"/>
            <w10:wrap type="none"/>
            <w10:anchorlock/>
          </v:shape>
          <o:OLEObject Type="Embed" ProgID="Equation.3" ShapeID="_x0000_i1032" DrawAspect="Content" ObjectID="_1468075732" r:id="rId21">
            <o:LockedField>false</o:LockedField>
          </o:OLEObject>
        </w:object>
      </w:r>
    </w:p>
    <w:p>
      <w:pPr>
        <w:pStyle w:val="134"/>
        <w:ind w:firstLine="0" w:firstLineChars="0"/>
        <w:jc w:val="center"/>
        <w:rPr>
          <w:color w:val="auto"/>
        </w:rPr>
      </w:pPr>
      <w:r>
        <w:rPr>
          <w:rFonts w:hint="eastAsia"/>
          <w:color w:val="auto"/>
          <w:position w:val="-12"/>
        </w:rPr>
        <w:object>
          <v:shape id="_x0000_i1033" o:spt="75" type="#_x0000_t75" style="height:18pt;width:227pt;" o:ole="t" filled="f" o:preferrelative="t" stroked="f" coordsize="21600,21600">
            <v:path/>
            <v:fill on="f" focussize="0,0"/>
            <v:stroke on="f" joinstyle="miter"/>
            <v:imagedata r:id="rId24" o:title=""/>
            <o:lock v:ext="edit" aspectratio="t"/>
            <w10:wrap type="none"/>
            <w10:anchorlock/>
          </v:shape>
          <o:OLEObject Type="Embed" ProgID="Equation.3" ShapeID="_x0000_i1033" DrawAspect="Content" ObjectID="_1468075733" r:id="rId23">
            <o:LockedField>false</o:LockedField>
          </o:OLEObject>
        </w:object>
      </w:r>
    </w:p>
    <w:p>
      <w:pPr>
        <w:pStyle w:val="134"/>
        <w:ind w:firstLine="0" w:firstLineChars="0"/>
        <w:jc w:val="center"/>
        <w:rPr>
          <w:color w:val="auto"/>
        </w:rPr>
      </w:pPr>
      <w:r>
        <w:rPr>
          <w:rFonts w:hint="eastAsia"/>
          <w:color w:val="auto"/>
          <w:position w:val="-12"/>
        </w:rPr>
        <w:object>
          <v:shape id="_x0000_i1034" o:spt="75" type="#_x0000_t75" style="height:18pt;width:169pt;" o:ole="t" filled="f" o:preferrelative="t" stroked="f" coordsize="21600,21600">
            <v:path/>
            <v:fill on="f" focussize="0,0"/>
            <v:stroke on="f" joinstyle="miter"/>
            <v:imagedata r:id="rId26" o:title=""/>
            <o:lock v:ext="edit" aspectratio="t"/>
            <w10:wrap type="none"/>
            <w10:anchorlock/>
          </v:shape>
          <o:OLEObject Type="Embed" ProgID="Equation.3" ShapeID="_x0000_i1034" DrawAspect="Content" ObjectID="_1468075734" r:id="rId25">
            <o:LockedField>false</o:LockedField>
          </o:OLEObject>
        </w:object>
      </w:r>
    </w:p>
    <w:p>
      <w:pPr>
        <w:pStyle w:val="134"/>
        <w:spacing w:line="520" w:lineRule="exact"/>
        <w:ind w:firstLine="560"/>
        <w:rPr>
          <w:rFonts w:eastAsia="仿宋"/>
          <w:color w:val="auto"/>
          <w:sz w:val="28"/>
          <w:szCs w:val="28"/>
        </w:rPr>
      </w:pPr>
      <w:r>
        <w:rPr>
          <w:rFonts w:hint="eastAsia" w:eastAsia="仿宋"/>
          <w:color w:val="auto"/>
          <w:sz w:val="28"/>
          <w:szCs w:val="28"/>
        </w:rPr>
        <w:t>本步反应过程会产生含氯化钙、次氯酸钙、磷酸钙、杂质和水的尾气吸收液以及含氯化氢、氮气、氯气和水蒸汽（反应产热导致）的尾气。</w:t>
      </w:r>
    </w:p>
    <w:p>
      <w:pPr>
        <w:pStyle w:val="134"/>
        <w:spacing w:line="520" w:lineRule="exact"/>
        <w:ind w:firstLine="560"/>
        <w:rPr>
          <w:rFonts w:eastAsia="仿宋"/>
          <w:color w:val="auto"/>
          <w:sz w:val="28"/>
          <w:szCs w:val="28"/>
        </w:rPr>
      </w:pPr>
      <w:r>
        <w:rPr>
          <w:rFonts w:hint="eastAsia" w:eastAsia="仿宋"/>
          <w:color w:val="auto"/>
          <w:sz w:val="28"/>
          <w:szCs w:val="28"/>
        </w:rPr>
        <w:t>④副产盐酸</w:t>
      </w:r>
    </w:p>
    <w:p>
      <w:pPr>
        <w:pStyle w:val="134"/>
        <w:spacing w:line="520" w:lineRule="exact"/>
        <w:ind w:firstLine="560"/>
        <w:rPr>
          <w:rFonts w:eastAsia="仿宋"/>
          <w:color w:val="auto"/>
          <w:sz w:val="28"/>
          <w:szCs w:val="28"/>
        </w:rPr>
      </w:pPr>
      <w:r>
        <w:rPr>
          <w:rFonts w:hint="eastAsia" w:eastAsia="仿宋"/>
          <w:color w:val="auto"/>
          <w:sz w:val="28"/>
          <w:szCs w:val="28"/>
        </w:rPr>
        <w:t>经一级吸收塔水洗吸收的含氯化氢、氮气、氯气和水蒸汽（反应产热导致）的尾气经三级降膜吸收塔水洗吸收后，产生含氯化氢、少量磷酸、极少量溶解氯气、杂质和水的副产品盐酸。</w:t>
      </w:r>
    </w:p>
    <w:p>
      <w:pPr>
        <w:pStyle w:val="134"/>
        <w:spacing w:line="520" w:lineRule="exact"/>
        <w:ind w:firstLine="560"/>
        <w:rPr>
          <w:rFonts w:eastAsia="仿宋"/>
          <w:color w:val="auto"/>
          <w:sz w:val="28"/>
          <w:szCs w:val="28"/>
        </w:rPr>
      </w:pPr>
      <w:r>
        <w:rPr>
          <w:rFonts w:hint="eastAsia" w:eastAsia="仿宋"/>
          <w:color w:val="auto"/>
          <w:sz w:val="28"/>
          <w:szCs w:val="28"/>
        </w:rPr>
        <w:t>本步反应过程的水，部分存在于副产盐酸内，部分存在于尾气吸收液内；本步反应过程会产生含少量氯化氢、氯气、杂质和水的尾气吸收液以及含氯化氢、氮气、氯气和水蒸汽（反应产热导致）的尾气。</w:t>
      </w:r>
    </w:p>
    <w:p>
      <w:pPr>
        <w:pStyle w:val="134"/>
        <w:spacing w:line="520" w:lineRule="exact"/>
        <w:ind w:firstLine="560"/>
        <w:rPr>
          <w:rFonts w:eastAsia="仿宋"/>
          <w:color w:val="auto"/>
          <w:sz w:val="28"/>
          <w:szCs w:val="28"/>
        </w:rPr>
      </w:pPr>
      <w:r>
        <w:rPr>
          <w:rFonts w:hint="eastAsia" w:eastAsia="仿宋"/>
          <w:color w:val="auto"/>
          <w:sz w:val="28"/>
          <w:szCs w:val="28"/>
        </w:rPr>
        <w:t>⑤尾气吸收</w:t>
      </w:r>
    </w:p>
    <w:p>
      <w:pPr>
        <w:pStyle w:val="134"/>
        <w:spacing w:line="520" w:lineRule="exact"/>
        <w:ind w:firstLine="560"/>
        <w:rPr>
          <w:rFonts w:eastAsia="仿宋"/>
          <w:color w:val="auto"/>
          <w:sz w:val="28"/>
          <w:szCs w:val="28"/>
        </w:rPr>
      </w:pPr>
      <w:r>
        <w:rPr>
          <w:rFonts w:hint="eastAsia" w:eastAsia="仿宋"/>
          <w:color w:val="auto"/>
          <w:sz w:val="28"/>
          <w:szCs w:val="28"/>
        </w:rPr>
        <w:t>经①</w:t>
      </w:r>
      <w:r>
        <w:rPr>
          <w:rFonts w:eastAsia="仿宋"/>
          <w:color w:val="auto"/>
          <w:sz w:val="28"/>
          <w:szCs w:val="28"/>
        </w:rPr>
        <w:t>~</w:t>
      </w:r>
      <w:r>
        <w:rPr>
          <w:rFonts w:hint="eastAsia" w:eastAsia="仿宋"/>
          <w:color w:val="auto"/>
          <w:sz w:val="28"/>
          <w:szCs w:val="28"/>
        </w:rPr>
        <w:t>④反应后产生的尾气经水洗吸收塔吸收后，在碱吸收塔中加入</w:t>
      </w:r>
      <w:r>
        <w:rPr>
          <w:rFonts w:eastAsia="仿宋"/>
          <w:color w:val="auto"/>
          <w:sz w:val="28"/>
          <w:szCs w:val="28"/>
        </w:rPr>
        <w:t>30%</w:t>
      </w:r>
      <w:r>
        <w:rPr>
          <w:rFonts w:hint="eastAsia" w:eastAsia="仿宋"/>
          <w:color w:val="auto"/>
          <w:sz w:val="28"/>
          <w:szCs w:val="28"/>
        </w:rPr>
        <w:t>液碱和水与尾气反应吸收，本步反应生成含氯化钠、次氯酸钠和水的尾气吸收废水以及含氯化氢、氮气、氯气和水蒸汽（反应产热导致）的尾气。</w:t>
      </w:r>
    </w:p>
    <w:p>
      <w:pPr>
        <w:pStyle w:val="134"/>
        <w:ind w:firstLine="0" w:firstLineChars="0"/>
        <w:jc w:val="center"/>
        <w:rPr>
          <w:color w:val="auto"/>
        </w:rPr>
      </w:pPr>
      <w:r>
        <w:rPr>
          <w:rFonts w:hint="eastAsia"/>
          <w:color w:val="auto"/>
          <w:position w:val="-10"/>
        </w:rPr>
        <w:object>
          <v:shape id="_x0000_i1035" o:spt="75" type="#_x0000_t75" style="height:17pt;width:188pt;" o:ole="t" filled="f" o:preferrelative="t" stroked="f" coordsize="21600,21600">
            <v:path/>
            <v:fill on="f" focussize="0,0"/>
            <v:stroke on="f" joinstyle="miter"/>
            <v:imagedata r:id="rId28" o:title=""/>
            <o:lock v:ext="edit" aspectratio="t"/>
            <w10:wrap type="none"/>
            <w10:anchorlock/>
          </v:shape>
          <o:OLEObject Type="Embed" ProgID="Equation.3" ShapeID="_x0000_i1035" DrawAspect="Content" ObjectID="_1468075735" r:id="rId27">
            <o:LockedField>false</o:LockedField>
          </o:OLEObject>
        </w:object>
      </w:r>
    </w:p>
    <w:p>
      <w:pPr>
        <w:pStyle w:val="134"/>
        <w:ind w:firstLine="0" w:firstLineChars="0"/>
        <w:jc w:val="center"/>
        <w:rPr>
          <w:color w:val="auto"/>
        </w:rPr>
      </w:pPr>
      <w:r>
        <w:rPr>
          <w:rFonts w:hint="eastAsia"/>
          <w:color w:val="auto"/>
          <w:position w:val="-10"/>
        </w:rPr>
        <w:object>
          <v:shape id="_x0000_i1036" o:spt="75" type="#_x0000_t75" style="height:17pt;width:142pt;" o:ole="t" filled="f" o:preferrelative="t" stroked="f" coordsize="21600,21600">
            <v:path/>
            <v:fill on="f" focussize="0,0"/>
            <v:stroke on="f" joinstyle="miter"/>
            <v:imagedata r:id="rId30" o:title=""/>
            <o:lock v:ext="edit" aspectratio="t"/>
            <w10:wrap type="none"/>
            <w10:anchorlock/>
          </v:shape>
          <o:OLEObject Type="Embed" ProgID="Equation.3" ShapeID="_x0000_i1036" DrawAspect="Content" ObjectID="_1468075736" r:id="rId29">
            <o:LockedField>false</o:LockedField>
          </o:OLEObject>
        </w:object>
      </w:r>
    </w:p>
    <w:p>
      <w:pPr>
        <w:pStyle w:val="134"/>
        <w:spacing w:line="520" w:lineRule="exact"/>
        <w:ind w:firstLine="560"/>
        <w:rPr>
          <w:rFonts w:eastAsia="仿宋"/>
          <w:color w:val="auto"/>
          <w:sz w:val="28"/>
          <w:szCs w:val="28"/>
        </w:rPr>
      </w:pPr>
      <w:r>
        <w:rPr>
          <w:rFonts w:hint="eastAsia" w:eastAsia="仿宋"/>
          <w:color w:val="auto"/>
          <w:sz w:val="28"/>
          <w:szCs w:val="28"/>
        </w:rPr>
        <w:t>本项目一次氯化器和二次氯化器的反应釜中间以中间罐链接；氮气经缓冲器缓冲后进入二次氯化器保障反应安全性；二次氯化完成后进行冷却，出料包装后得到产品。项目尾气在最终中和酸性后，经30米排气筒达标排放；副产磷酸钙过程中经压滤机压滤产生的废水和三级吸收塔吸收后产生的废水形成废水W1，经拟建污水处理站处理后，排入远安工业污水处理厂集中处理后达标排放。</w:t>
      </w:r>
    </w:p>
    <w:p>
      <w:pPr>
        <w:pStyle w:val="134"/>
        <w:spacing w:line="520" w:lineRule="exact"/>
        <w:ind w:firstLine="560"/>
        <w:rPr>
          <w:rFonts w:eastAsia="仿宋"/>
          <w:color w:val="auto"/>
          <w:sz w:val="28"/>
          <w:szCs w:val="28"/>
        </w:rPr>
      </w:pPr>
      <w:r>
        <w:rPr>
          <w:rFonts w:hint="eastAsia" w:eastAsia="仿宋"/>
          <w:color w:val="auto"/>
          <w:sz w:val="28"/>
          <w:szCs w:val="28"/>
        </w:rPr>
        <w:t>项目工艺方案见图2.3-1。</w:t>
      </w:r>
    </w:p>
    <w:p>
      <w:pPr>
        <w:widowControl/>
        <w:jc w:val="center"/>
        <w:rPr>
          <w:rFonts w:eastAsia="仿宋"/>
          <w:sz w:val="28"/>
          <w:szCs w:val="28"/>
        </w:rPr>
      </w:pPr>
      <w:r>
        <w:rPr>
          <w:rFonts w:hAnsi="宋体" w:cs="宋体"/>
          <w:sz w:val="24"/>
        </w:rPr>
        <w:object>
          <v:shape id="_x0000_i1037" o:spt="75" type="#_x0000_t75" style="height:268pt;width:453pt;" o:ole="t" filled="f" o:preferrelative="t" stroked="f" coordsize="21600,21600">
            <v:path/>
            <v:fill on="f" focussize="0,0"/>
            <v:stroke on="f" joinstyle="miter"/>
            <v:imagedata r:id="rId32" o:title=""/>
            <o:lock v:ext="edit" aspectratio="f"/>
            <w10:wrap type="none"/>
            <w10:anchorlock/>
          </v:shape>
          <o:OLEObject Type="Embed" ProgID="Visio.Drawing.15" ShapeID="_x0000_i1037" DrawAspect="Content" ObjectID="_1468075737" r:id="rId31">
            <o:LockedField>false</o:LockedField>
          </o:OLEObject>
        </w:object>
      </w:r>
      <w:r>
        <w:rPr>
          <w:rFonts w:hint="eastAsia" w:eastAsia="仿宋"/>
          <w:sz w:val="28"/>
          <w:szCs w:val="28"/>
        </w:rPr>
        <w:t>图2</w:t>
      </w:r>
      <w:r>
        <w:rPr>
          <w:rFonts w:eastAsia="仿宋"/>
          <w:sz w:val="28"/>
          <w:szCs w:val="28"/>
        </w:rPr>
        <w:t>.</w:t>
      </w:r>
      <w:r>
        <w:rPr>
          <w:rFonts w:hint="eastAsia" w:eastAsia="仿宋"/>
          <w:sz w:val="28"/>
          <w:szCs w:val="28"/>
        </w:rPr>
        <w:t>3</w:t>
      </w:r>
      <w:r>
        <w:rPr>
          <w:rFonts w:eastAsia="仿宋"/>
          <w:sz w:val="28"/>
          <w:szCs w:val="28"/>
        </w:rPr>
        <w:t>-1</w:t>
      </w:r>
      <w:r>
        <w:rPr>
          <w:rFonts w:hint="eastAsia" w:eastAsia="仿宋"/>
          <w:sz w:val="28"/>
          <w:szCs w:val="28"/>
        </w:rPr>
        <w:t xml:space="preserve">  电子级五氯化磷工艺流程图</w:t>
      </w:r>
    </w:p>
    <w:p>
      <w:pPr>
        <w:pStyle w:val="134"/>
        <w:spacing w:line="520" w:lineRule="exact"/>
        <w:ind w:firstLine="560"/>
        <w:rPr>
          <w:rFonts w:eastAsia="仿宋"/>
          <w:color w:val="auto"/>
          <w:sz w:val="28"/>
          <w:szCs w:val="28"/>
        </w:rPr>
      </w:pPr>
      <w:r>
        <w:rPr>
          <w:rFonts w:hint="eastAsia" w:eastAsia="仿宋"/>
          <w:color w:val="auto"/>
          <w:sz w:val="28"/>
          <w:szCs w:val="28"/>
        </w:rPr>
        <w:t>项目生产过程中，黄磷需要保温、液氯汽化需要加热，两者温度均需在</w:t>
      </w:r>
      <w:r>
        <w:rPr>
          <w:rFonts w:eastAsia="仿宋"/>
          <w:color w:val="auto"/>
          <w:sz w:val="28"/>
          <w:szCs w:val="28"/>
        </w:rPr>
        <w:t>60℃</w:t>
      </w:r>
      <w:r>
        <w:rPr>
          <w:rFonts w:hint="eastAsia" w:eastAsia="仿宋"/>
          <w:color w:val="auto"/>
          <w:sz w:val="28"/>
          <w:szCs w:val="28"/>
        </w:rPr>
        <w:t>，不属于高温反应，所需保温和加热的热量由蒸汽提供。蒸汽由生物质过滤燃烧加热生成，通过管道输送至所需保温和加热部位。</w:t>
      </w:r>
    </w:p>
    <w:p>
      <w:pPr>
        <w:widowControl/>
        <w:jc w:val="center"/>
        <w:rPr>
          <w:rFonts w:eastAsia="仿宋"/>
          <w:sz w:val="28"/>
          <w:szCs w:val="28"/>
        </w:rPr>
      </w:pPr>
      <w:r>
        <w:rPr>
          <w:rFonts w:hint="eastAsia" w:eastAsia="仿宋"/>
          <w:sz w:val="28"/>
          <w:szCs w:val="28"/>
        </w:rPr>
        <w:t>表</w:t>
      </w:r>
      <w:r>
        <w:rPr>
          <w:rFonts w:eastAsia="仿宋"/>
          <w:sz w:val="28"/>
          <w:szCs w:val="28"/>
        </w:rPr>
        <w:t>2.</w:t>
      </w:r>
      <w:r>
        <w:rPr>
          <w:rFonts w:hint="eastAsia" w:eastAsia="仿宋"/>
          <w:sz w:val="28"/>
          <w:szCs w:val="28"/>
        </w:rPr>
        <w:t>3</w:t>
      </w:r>
      <w:r>
        <w:rPr>
          <w:rFonts w:eastAsia="仿宋"/>
          <w:sz w:val="28"/>
          <w:szCs w:val="28"/>
        </w:rPr>
        <w:t>-1</w:t>
      </w:r>
      <w:r>
        <w:rPr>
          <w:rFonts w:hint="eastAsia" w:eastAsia="仿宋"/>
          <w:sz w:val="28"/>
          <w:szCs w:val="28"/>
        </w:rPr>
        <w:t>项目主要污染源和污染物</w:t>
      </w:r>
    </w:p>
    <w:tbl>
      <w:tblPr>
        <w:tblStyle w:val="35"/>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618"/>
        <w:gridCol w:w="620"/>
        <w:gridCol w:w="417"/>
        <w:gridCol w:w="3033"/>
        <w:gridCol w:w="1203"/>
        <w:gridCol w:w="263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536" w:type="pct"/>
            <w:noWrap/>
            <w:vAlign w:val="center"/>
          </w:tcPr>
          <w:p>
            <w:pPr>
              <w:jc w:val="center"/>
              <w:rPr>
                <w:rFonts w:eastAsia="仿宋"/>
                <w:b/>
              </w:rPr>
            </w:pPr>
            <w:r>
              <w:rPr>
                <w:rFonts w:eastAsia="仿宋"/>
                <w:b/>
              </w:rPr>
              <w:t>污染源</w:t>
            </w:r>
          </w:p>
        </w:tc>
        <w:tc>
          <w:tcPr>
            <w:tcW w:w="514" w:type="pct"/>
            <w:noWrap/>
            <w:vAlign w:val="center"/>
          </w:tcPr>
          <w:p>
            <w:pPr>
              <w:jc w:val="center"/>
              <w:rPr>
                <w:rFonts w:eastAsia="仿宋"/>
                <w:b/>
              </w:rPr>
            </w:pPr>
            <w:r>
              <w:rPr>
                <w:rFonts w:eastAsia="仿宋"/>
                <w:b/>
              </w:rPr>
              <w:t>工艺方法</w:t>
            </w:r>
          </w:p>
        </w:tc>
        <w:tc>
          <w:tcPr>
            <w:tcW w:w="1897" w:type="pct"/>
            <w:gridSpan w:val="2"/>
            <w:noWrap/>
            <w:vAlign w:val="center"/>
          </w:tcPr>
          <w:p>
            <w:pPr>
              <w:jc w:val="center"/>
              <w:rPr>
                <w:rFonts w:eastAsia="仿宋"/>
                <w:b/>
              </w:rPr>
            </w:pPr>
            <w:r>
              <w:rPr>
                <w:rFonts w:eastAsia="仿宋"/>
                <w:b/>
              </w:rPr>
              <w:t>污染要素</w:t>
            </w:r>
          </w:p>
        </w:tc>
        <w:tc>
          <w:tcPr>
            <w:tcW w:w="751" w:type="pct"/>
            <w:noWrap/>
            <w:vAlign w:val="center"/>
          </w:tcPr>
          <w:p>
            <w:pPr>
              <w:jc w:val="center"/>
              <w:rPr>
                <w:rFonts w:eastAsia="仿宋"/>
                <w:b/>
              </w:rPr>
            </w:pPr>
            <w:r>
              <w:rPr>
                <w:rFonts w:eastAsia="仿宋"/>
                <w:b/>
              </w:rPr>
              <w:t>主要污染物</w:t>
            </w:r>
          </w:p>
        </w:tc>
        <w:tc>
          <w:tcPr>
            <w:tcW w:w="1300" w:type="pct"/>
            <w:noWrap/>
            <w:vAlign w:val="center"/>
          </w:tcPr>
          <w:p>
            <w:pPr>
              <w:jc w:val="center"/>
              <w:rPr>
                <w:rFonts w:eastAsia="仿宋"/>
                <w:b/>
              </w:rPr>
            </w:pPr>
            <w:r>
              <w:rPr>
                <w:rFonts w:eastAsia="仿宋"/>
                <w:b/>
              </w:rPr>
              <w:t>防治措施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6" w:type="pct"/>
            <w:vMerge w:val="restart"/>
            <w:noWrap/>
            <w:vAlign w:val="center"/>
          </w:tcPr>
          <w:p>
            <w:pPr>
              <w:jc w:val="center"/>
              <w:rPr>
                <w:rFonts w:eastAsia="仿宋"/>
              </w:rPr>
            </w:pPr>
            <w:r>
              <w:rPr>
                <w:rFonts w:eastAsia="仿宋"/>
              </w:rPr>
              <w:t>生产工艺</w:t>
            </w:r>
          </w:p>
        </w:tc>
        <w:tc>
          <w:tcPr>
            <w:tcW w:w="514" w:type="pct"/>
            <w:vMerge w:val="restart"/>
            <w:noWrap/>
            <w:vAlign w:val="center"/>
          </w:tcPr>
          <w:p>
            <w:pPr>
              <w:jc w:val="center"/>
              <w:rPr>
                <w:rFonts w:eastAsia="仿宋"/>
                <w:bCs/>
              </w:rPr>
            </w:pPr>
            <w:r>
              <w:rPr>
                <w:rFonts w:eastAsia="仿宋"/>
                <w:bCs/>
              </w:rPr>
              <w:t>物化反应</w:t>
            </w:r>
          </w:p>
        </w:tc>
        <w:tc>
          <w:tcPr>
            <w:tcW w:w="343" w:type="pct"/>
            <w:vMerge w:val="restart"/>
            <w:noWrap/>
            <w:vAlign w:val="center"/>
          </w:tcPr>
          <w:p>
            <w:pPr>
              <w:jc w:val="center"/>
              <w:rPr>
                <w:rFonts w:eastAsia="仿宋"/>
                <w:bCs/>
              </w:rPr>
            </w:pPr>
            <w:r>
              <w:rPr>
                <w:rFonts w:eastAsia="仿宋"/>
                <w:bCs/>
              </w:rPr>
              <w:t>废气</w:t>
            </w:r>
          </w:p>
        </w:tc>
        <w:tc>
          <w:tcPr>
            <w:tcW w:w="1554" w:type="pct"/>
            <w:noWrap/>
            <w:vAlign w:val="center"/>
          </w:tcPr>
          <w:p>
            <w:pPr>
              <w:jc w:val="center"/>
              <w:rPr>
                <w:rFonts w:eastAsia="仿宋"/>
                <w:bCs/>
              </w:rPr>
            </w:pPr>
            <w:r>
              <w:rPr>
                <w:rFonts w:eastAsia="仿宋"/>
                <w:bCs/>
              </w:rPr>
              <w:t>反应尾气</w:t>
            </w:r>
          </w:p>
        </w:tc>
        <w:tc>
          <w:tcPr>
            <w:tcW w:w="751" w:type="pct"/>
            <w:noWrap/>
            <w:vAlign w:val="center"/>
          </w:tcPr>
          <w:p>
            <w:pPr>
              <w:jc w:val="center"/>
              <w:rPr>
                <w:rFonts w:eastAsia="仿宋"/>
                <w:bCs/>
              </w:rPr>
            </w:pPr>
            <w:r>
              <w:rPr>
                <w:rFonts w:eastAsia="仿宋"/>
                <w:bCs/>
              </w:rPr>
              <w:t>HCl、Cl</w:t>
            </w:r>
            <w:r>
              <w:rPr>
                <w:rFonts w:eastAsia="仿宋"/>
                <w:bCs/>
                <w:vertAlign w:val="subscript"/>
              </w:rPr>
              <w:t>2</w:t>
            </w:r>
          </w:p>
        </w:tc>
        <w:tc>
          <w:tcPr>
            <w:tcW w:w="1300" w:type="pct"/>
            <w:noWrap/>
            <w:vAlign w:val="center"/>
          </w:tcPr>
          <w:p>
            <w:pPr>
              <w:jc w:val="center"/>
              <w:rPr>
                <w:rFonts w:eastAsia="仿宋"/>
                <w:bCs/>
              </w:rPr>
            </w:pPr>
            <w:r>
              <w:rPr>
                <w:rFonts w:eastAsia="仿宋"/>
                <w:bCs/>
              </w:rPr>
              <w:t>一级水吸收+三级降膜吸收+碱液吸收+</w:t>
            </w:r>
            <w:r>
              <w:rPr>
                <w:rFonts w:eastAsia="仿宋"/>
                <w:snapToGrid w:val="0"/>
              </w:rPr>
              <w:t>30 m高烟囱排放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6" w:type="pct"/>
            <w:vMerge w:val="continue"/>
            <w:noWrap/>
            <w:vAlign w:val="center"/>
          </w:tcPr>
          <w:p>
            <w:pPr>
              <w:jc w:val="center"/>
              <w:rPr>
                <w:rFonts w:eastAsia="仿宋"/>
              </w:rPr>
            </w:pPr>
          </w:p>
        </w:tc>
        <w:tc>
          <w:tcPr>
            <w:tcW w:w="514" w:type="pct"/>
            <w:vMerge w:val="continue"/>
            <w:noWrap/>
            <w:vAlign w:val="center"/>
          </w:tcPr>
          <w:p>
            <w:pPr>
              <w:jc w:val="center"/>
              <w:rPr>
                <w:rFonts w:eastAsia="仿宋"/>
                <w:bCs/>
              </w:rPr>
            </w:pPr>
          </w:p>
        </w:tc>
        <w:tc>
          <w:tcPr>
            <w:tcW w:w="343" w:type="pct"/>
            <w:vMerge w:val="continue"/>
            <w:noWrap/>
            <w:vAlign w:val="center"/>
          </w:tcPr>
          <w:p>
            <w:pPr>
              <w:jc w:val="center"/>
              <w:rPr>
                <w:rFonts w:eastAsia="仿宋"/>
                <w:bCs/>
              </w:rPr>
            </w:pPr>
          </w:p>
        </w:tc>
        <w:tc>
          <w:tcPr>
            <w:tcW w:w="1554" w:type="pct"/>
            <w:noWrap/>
            <w:vAlign w:val="center"/>
          </w:tcPr>
          <w:p>
            <w:pPr>
              <w:jc w:val="center"/>
              <w:rPr>
                <w:rFonts w:eastAsia="仿宋"/>
                <w:bCs/>
              </w:rPr>
            </w:pPr>
            <w:r>
              <w:rPr>
                <w:rFonts w:eastAsia="仿宋"/>
                <w:bCs/>
              </w:rPr>
              <w:t>盐酸罐区无组织排放废气</w:t>
            </w:r>
          </w:p>
        </w:tc>
        <w:tc>
          <w:tcPr>
            <w:tcW w:w="751" w:type="pct"/>
            <w:noWrap/>
            <w:vAlign w:val="center"/>
          </w:tcPr>
          <w:p>
            <w:pPr>
              <w:jc w:val="center"/>
              <w:rPr>
                <w:rFonts w:eastAsia="仿宋"/>
                <w:bCs/>
              </w:rPr>
            </w:pPr>
            <w:r>
              <w:rPr>
                <w:rFonts w:eastAsia="仿宋"/>
                <w:bCs/>
              </w:rPr>
              <w:t>HCl</w:t>
            </w:r>
          </w:p>
        </w:tc>
        <w:tc>
          <w:tcPr>
            <w:tcW w:w="1300" w:type="pct"/>
            <w:noWrap/>
            <w:vAlign w:val="center"/>
          </w:tcPr>
          <w:p>
            <w:pPr>
              <w:jc w:val="center"/>
              <w:rPr>
                <w:rFonts w:eastAsia="仿宋"/>
                <w:bCs/>
              </w:rPr>
            </w:pPr>
            <w:r>
              <w:rPr>
                <w:rFonts w:eastAsia="仿宋"/>
                <w:bCs/>
              </w:rPr>
              <w:t>水封，加强管理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6" w:type="pct"/>
            <w:vMerge w:val="continue"/>
            <w:noWrap/>
            <w:vAlign w:val="center"/>
          </w:tcPr>
          <w:p>
            <w:pPr>
              <w:jc w:val="center"/>
              <w:rPr>
                <w:rFonts w:eastAsia="仿宋"/>
              </w:rPr>
            </w:pPr>
          </w:p>
        </w:tc>
        <w:tc>
          <w:tcPr>
            <w:tcW w:w="514" w:type="pct"/>
            <w:vMerge w:val="continue"/>
            <w:noWrap/>
            <w:vAlign w:val="center"/>
          </w:tcPr>
          <w:p>
            <w:pPr>
              <w:jc w:val="center"/>
              <w:rPr>
                <w:rFonts w:eastAsia="仿宋"/>
                <w:bCs/>
              </w:rPr>
            </w:pPr>
          </w:p>
        </w:tc>
        <w:tc>
          <w:tcPr>
            <w:tcW w:w="343" w:type="pct"/>
            <w:vMerge w:val="continue"/>
            <w:noWrap/>
            <w:vAlign w:val="center"/>
          </w:tcPr>
          <w:p>
            <w:pPr>
              <w:jc w:val="center"/>
              <w:rPr>
                <w:rFonts w:eastAsia="仿宋"/>
                <w:bCs/>
              </w:rPr>
            </w:pPr>
          </w:p>
        </w:tc>
        <w:tc>
          <w:tcPr>
            <w:tcW w:w="1554" w:type="pct"/>
            <w:noWrap/>
            <w:vAlign w:val="center"/>
          </w:tcPr>
          <w:p>
            <w:pPr>
              <w:jc w:val="center"/>
              <w:rPr>
                <w:rFonts w:eastAsia="仿宋"/>
                <w:bCs/>
              </w:rPr>
            </w:pPr>
            <w:r>
              <w:rPr>
                <w:rFonts w:eastAsia="仿宋"/>
                <w:bCs/>
              </w:rPr>
              <w:t>锅炉废气</w:t>
            </w:r>
          </w:p>
        </w:tc>
        <w:tc>
          <w:tcPr>
            <w:tcW w:w="751" w:type="pct"/>
            <w:noWrap/>
            <w:vAlign w:val="center"/>
          </w:tcPr>
          <w:p>
            <w:pPr>
              <w:jc w:val="center"/>
              <w:rPr>
                <w:rFonts w:eastAsia="仿宋"/>
                <w:bCs/>
              </w:rPr>
            </w:pPr>
            <w:r>
              <w:rPr>
                <w:rFonts w:eastAsia="仿宋"/>
                <w:bCs/>
              </w:rPr>
              <w:t>颗粒物、SO</w:t>
            </w:r>
            <w:r>
              <w:rPr>
                <w:rFonts w:eastAsia="仿宋"/>
                <w:bCs/>
                <w:vertAlign w:val="subscript"/>
              </w:rPr>
              <w:t>2</w:t>
            </w:r>
            <w:r>
              <w:rPr>
                <w:rFonts w:eastAsia="仿宋"/>
                <w:bCs/>
              </w:rPr>
              <w:t>、NOx</w:t>
            </w:r>
          </w:p>
        </w:tc>
        <w:tc>
          <w:tcPr>
            <w:tcW w:w="1300" w:type="pct"/>
            <w:noWrap/>
            <w:vAlign w:val="center"/>
          </w:tcPr>
          <w:p>
            <w:pPr>
              <w:jc w:val="center"/>
              <w:rPr>
                <w:rFonts w:eastAsia="仿宋"/>
                <w:bCs/>
              </w:rPr>
            </w:pPr>
            <w:r>
              <w:rPr>
                <w:rFonts w:eastAsia="仿宋"/>
                <w:bCs/>
              </w:rPr>
              <w:t>布袋除尘+</w:t>
            </w:r>
            <w:r>
              <w:rPr>
                <w:rFonts w:eastAsia="仿宋"/>
                <w:snapToGrid w:val="0"/>
              </w:rPr>
              <w:t>25 m高烟囱排放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6" w:type="pct"/>
            <w:vMerge w:val="continue"/>
            <w:noWrap/>
            <w:vAlign w:val="center"/>
          </w:tcPr>
          <w:p>
            <w:pPr>
              <w:jc w:val="center"/>
              <w:rPr>
                <w:rFonts w:eastAsia="仿宋"/>
              </w:rPr>
            </w:pPr>
          </w:p>
        </w:tc>
        <w:tc>
          <w:tcPr>
            <w:tcW w:w="514" w:type="pct"/>
            <w:vMerge w:val="continue"/>
            <w:noWrap/>
            <w:vAlign w:val="center"/>
          </w:tcPr>
          <w:p>
            <w:pPr>
              <w:jc w:val="center"/>
              <w:rPr>
                <w:rFonts w:eastAsia="仿宋"/>
                <w:bCs/>
              </w:rPr>
            </w:pPr>
          </w:p>
        </w:tc>
        <w:tc>
          <w:tcPr>
            <w:tcW w:w="343" w:type="pct"/>
            <w:vMerge w:val="restart"/>
            <w:noWrap/>
            <w:vAlign w:val="center"/>
          </w:tcPr>
          <w:p>
            <w:pPr>
              <w:jc w:val="center"/>
              <w:rPr>
                <w:rFonts w:eastAsia="仿宋"/>
                <w:bCs/>
              </w:rPr>
            </w:pPr>
            <w:r>
              <w:rPr>
                <w:rFonts w:eastAsia="仿宋"/>
                <w:bCs/>
              </w:rPr>
              <w:t>废水</w:t>
            </w:r>
          </w:p>
        </w:tc>
        <w:tc>
          <w:tcPr>
            <w:tcW w:w="1554" w:type="pct"/>
            <w:noWrap/>
            <w:vAlign w:val="center"/>
          </w:tcPr>
          <w:p>
            <w:pPr>
              <w:rPr>
                <w:rFonts w:eastAsia="仿宋"/>
                <w:bCs/>
              </w:rPr>
            </w:pPr>
            <w:r>
              <w:rPr>
                <w:rFonts w:eastAsia="仿宋"/>
                <w:bCs/>
              </w:rPr>
              <w:t>副产磷酸钙废水、真空泵废水、设备及地面冲洗废水、初期雨水</w:t>
            </w:r>
          </w:p>
        </w:tc>
        <w:tc>
          <w:tcPr>
            <w:tcW w:w="751" w:type="pct"/>
            <w:noWrap/>
            <w:vAlign w:val="center"/>
          </w:tcPr>
          <w:p>
            <w:pPr>
              <w:jc w:val="center"/>
              <w:rPr>
                <w:rFonts w:eastAsia="仿宋"/>
              </w:rPr>
            </w:pPr>
            <w:r>
              <w:rPr>
                <w:rFonts w:eastAsia="仿宋"/>
                <w:bCs/>
              </w:rPr>
              <w:t>pH、SS、COD、TP等</w:t>
            </w:r>
          </w:p>
        </w:tc>
        <w:tc>
          <w:tcPr>
            <w:tcW w:w="1300" w:type="pct"/>
            <w:noWrap/>
            <w:vAlign w:val="center"/>
          </w:tcPr>
          <w:p>
            <w:pPr>
              <w:jc w:val="center"/>
              <w:rPr>
                <w:rFonts w:eastAsia="仿宋"/>
                <w:bCs/>
              </w:rPr>
            </w:pPr>
            <w:r>
              <w:rPr>
                <w:rFonts w:eastAsia="仿宋"/>
                <w:bCs/>
              </w:rPr>
              <w:t>絮凝（PAM/PAC）、压滤处理工艺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6" w:type="pct"/>
            <w:vMerge w:val="continue"/>
            <w:noWrap/>
            <w:vAlign w:val="center"/>
          </w:tcPr>
          <w:p>
            <w:pPr>
              <w:jc w:val="center"/>
              <w:rPr>
                <w:rFonts w:eastAsia="仿宋"/>
              </w:rPr>
            </w:pPr>
          </w:p>
        </w:tc>
        <w:tc>
          <w:tcPr>
            <w:tcW w:w="514" w:type="pct"/>
            <w:vMerge w:val="continue"/>
            <w:noWrap/>
            <w:vAlign w:val="center"/>
          </w:tcPr>
          <w:p>
            <w:pPr>
              <w:jc w:val="center"/>
              <w:rPr>
                <w:rFonts w:eastAsia="仿宋"/>
                <w:bCs/>
              </w:rPr>
            </w:pPr>
          </w:p>
        </w:tc>
        <w:tc>
          <w:tcPr>
            <w:tcW w:w="343" w:type="pct"/>
            <w:vMerge w:val="continue"/>
            <w:noWrap/>
            <w:vAlign w:val="center"/>
          </w:tcPr>
          <w:p>
            <w:pPr>
              <w:jc w:val="center"/>
              <w:rPr>
                <w:rFonts w:eastAsia="仿宋"/>
                <w:bCs/>
              </w:rPr>
            </w:pPr>
          </w:p>
        </w:tc>
        <w:tc>
          <w:tcPr>
            <w:tcW w:w="1554" w:type="pct"/>
            <w:noWrap/>
            <w:vAlign w:val="center"/>
          </w:tcPr>
          <w:p>
            <w:pPr>
              <w:jc w:val="center"/>
              <w:rPr>
                <w:rFonts w:eastAsia="仿宋"/>
                <w:bCs/>
              </w:rPr>
            </w:pPr>
            <w:r>
              <w:rPr>
                <w:rFonts w:eastAsia="仿宋"/>
                <w:bCs/>
              </w:rPr>
              <w:t>循环排污水</w:t>
            </w:r>
          </w:p>
        </w:tc>
        <w:tc>
          <w:tcPr>
            <w:tcW w:w="751" w:type="pct"/>
            <w:noWrap/>
            <w:vAlign w:val="center"/>
          </w:tcPr>
          <w:p>
            <w:pPr>
              <w:jc w:val="center"/>
              <w:rPr>
                <w:rFonts w:eastAsia="仿宋"/>
                <w:bCs/>
              </w:rPr>
            </w:pPr>
            <w:r>
              <w:rPr>
                <w:rFonts w:eastAsia="仿宋"/>
                <w:bCs/>
              </w:rPr>
              <w:t>pH、SS、COD、TP等</w:t>
            </w:r>
          </w:p>
        </w:tc>
        <w:tc>
          <w:tcPr>
            <w:tcW w:w="1300" w:type="pct"/>
            <w:noWrap/>
            <w:vAlign w:val="center"/>
          </w:tcPr>
          <w:p>
            <w:pPr>
              <w:jc w:val="center"/>
              <w:rPr>
                <w:rFonts w:eastAsia="仿宋"/>
                <w:bCs/>
              </w:rPr>
            </w:pPr>
            <w:r>
              <w:rPr>
                <w:rFonts w:eastAsia="仿宋"/>
                <w:bCs/>
              </w:rPr>
              <w:t>冷却后循环使用，不外排</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6" w:type="pct"/>
            <w:vMerge w:val="continue"/>
            <w:noWrap/>
            <w:vAlign w:val="center"/>
          </w:tcPr>
          <w:p>
            <w:pPr>
              <w:jc w:val="center"/>
              <w:rPr>
                <w:rFonts w:eastAsia="仿宋"/>
              </w:rPr>
            </w:pPr>
          </w:p>
        </w:tc>
        <w:tc>
          <w:tcPr>
            <w:tcW w:w="514" w:type="pct"/>
            <w:vMerge w:val="continue"/>
            <w:noWrap/>
            <w:vAlign w:val="center"/>
          </w:tcPr>
          <w:p>
            <w:pPr>
              <w:jc w:val="center"/>
              <w:rPr>
                <w:rFonts w:eastAsia="仿宋"/>
                <w:bCs/>
              </w:rPr>
            </w:pPr>
          </w:p>
        </w:tc>
        <w:tc>
          <w:tcPr>
            <w:tcW w:w="343" w:type="pct"/>
            <w:vMerge w:val="restart"/>
            <w:noWrap/>
            <w:vAlign w:val="center"/>
          </w:tcPr>
          <w:p>
            <w:pPr>
              <w:jc w:val="center"/>
              <w:rPr>
                <w:rFonts w:eastAsia="仿宋"/>
                <w:bCs/>
              </w:rPr>
            </w:pPr>
            <w:r>
              <w:rPr>
                <w:rFonts w:eastAsia="仿宋"/>
                <w:bCs/>
              </w:rPr>
              <w:t>固废</w:t>
            </w:r>
          </w:p>
        </w:tc>
        <w:tc>
          <w:tcPr>
            <w:tcW w:w="1554" w:type="pct"/>
            <w:noWrap/>
            <w:vAlign w:val="center"/>
          </w:tcPr>
          <w:p>
            <w:pPr>
              <w:jc w:val="center"/>
              <w:rPr>
                <w:rFonts w:eastAsia="仿宋"/>
                <w:bCs/>
              </w:rPr>
            </w:pPr>
            <w:r>
              <w:rPr>
                <w:rFonts w:eastAsia="仿宋"/>
                <w:bCs/>
              </w:rPr>
              <w:t>废机油、精馏残渣</w:t>
            </w:r>
          </w:p>
        </w:tc>
        <w:tc>
          <w:tcPr>
            <w:tcW w:w="751" w:type="pct"/>
            <w:noWrap/>
            <w:vAlign w:val="center"/>
          </w:tcPr>
          <w:p>
            <w:pPr>
              <w:jc w:val="center"/>
              <w:rPr>
                <w:rFonts w:eastAsia="仿宋"/>
                <w:bCs/>
              </w:rPr>
            </w:pPr>
            <w:r>
              <w:rPr>
                <w:rFonts w:eastAsia="仿宋"/>
                <w:bCs/>
              </w:rPr>
              <w:t>危险废物</w:t>
            </w:r>
          </w:p>
        </w:tc>
        <w:tc>
          <w:tcPr>
            <w:tcW w:w="1300" w:type="pct"/>
            <w:noWrap/>
            <w:vAlign w:val="center"/>
          </w:tcPr>
          <w:p>
            <w:pPr>
              <w:jc w:val="center"/>
              <w:rPr>
                <w:rFonts w:eastAsia="仿宋"/>
                <w:bCs/>
              </w:rPr>
            </w:pPr>
            <w:r>
              <w:rPr>
                <w:rFonts w:eastAsia="仿宋"/>
                <w:bCs/>
              </w:rPr>
              <w:t>分类收集，交由有危险废物处置资质的单位安全处置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6" w:type="pct"/>
            <w:vMerge w:val="continue"/>
            <w:noWrap/>
            <w:vAlign w:val="center"/>
          </w:tcPr>
          <w:p>
            <w:pPr>
              <w:jc w:val="center"/>
              <w:rPr>
                <w:rFonts w:eastAsia="仿宋"/>
              </w:rPr>
            </w:pPr>
          </w:p>
        </w:tc>
        <w:tc>
          <w:tcPr>
            <w:tcW w:w="514" w:type="pct"/>
            <w:vMerge w:val="continue"/>
            <w:noWrap/>
            <w:vAlign w:val="center"/>
          </w:tcPr>
          <w:p>
            <w:pPr>
              <w:jc w:val="center"/>
              <w:rPr>
                <w:rFonts w:eastAsia="仿宋"/>
                <w:bCs/>
              </w:rPr>
            </w:pPr>
          </w:p>
        </w:tc>
        <w:tc>
          <w:tcPr>
            <w:tcW w:w="343" w:type="pct"/>
            <w:vMerge w:val="continue"/>
            <w:noWrap/>
            <w:vAlign w:val="center"/>
          </w:tcPr>
          <w:p>
            <w:pPr>
              <w:jc w:val="center"/>
              <w:rPr>
                <w:rFonts w:eastAsia="仿宋"/>
                <w:bCs/>
              </w:rPr>
            </w:pPr>
          </w:p>
        </w:tc>
        <w:tc>
          <w:tcPr>
            <w:tcW w:w="1554" w:type="pct"/>
            <w:noWrap/>
            <w:vAlign w:val="center"/>
          </w:tcPr>
          <w:p>
            <w:pPr>
              <w:jc w:val="center"/>
              <w:rPr>
                <w:rFonts w:eastAsia="仿宋"/>
                <w:bCs/>
              </w:rPr>
            </w:pPr>
            <w:r>
              <w:rPr>
                <w:rFonts w:eastAsia="仿宋"/>
                <w:bCs/>
              </w:rPr>
              <w:t>污水处理站沉渣</w:t>
            </w:r>
          </w:p>
        </w:tc>
        <w:tc>
          <w:tcPr>
            <w:tcW w:w="751" w:type="pct"/>
            <w:noWrap/>
            <w:vAlign w:val="center"/>
          </w:tcPr>
          <w:p>
            <w:pPr>
              <w:jc w:val="center"/>
              <w:rPr>
                <w:rFonts w:eastAsia="仿宋"/>
                <w:bCs/>
              </w:rPr>
            </w:pPr>
            <w:r>
              <w:rPr>
                <w:rFonts w:eastAsia="仿宋"/>
                <w:bCs/>
              </w:rPr>
              <w:t>磷酸钙</w:t>
            </w:r>
          </w:p>
        </w:tc>
        <w:tc>
          <w:tcPr>
            <w:tcW w:w="1300" w:type="pct"/>
            <w:noWrap/>
            <w:vAlign w:val="center"/>
          </w:tcPr>
          <w:p>
            <w:pPr>
              <w:jc w:val="center"/>
              <w:rPr>
                <w:rFonts w:eastAsia="仿宋"/>
                <w:bCs/>
              </w:rPr>
            </w:pPr>
            <w:r>
              <w:rPr>
                <w:rFonts w:eastAsia="仿宋"/>
                <w:bCs/>
              </w:rPr>
              <w:t>属于一般废物，可外售给建材企业综合利用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6" w:type="pct"/>
            <w:vMerge w:val="continue"/>
            <w:noWrap/>
            <w:vAlign w:val="center"/>
          </w:tcPr>
          <w:p>
            <w:pPr>
              <w:jc w:val="center"/>
              <w:rPr>
                <w:rFonts w:eastAsia="仿宋"/>
              </w:rPr>
            </w:pPr>
          </w:p>
        </w:tc>
        <w:tc>
          <w:tcPr>
            <w:tcW w:w="514" w:type="pct"/>
            <w:vMerge w:val="continue"/>
            <w:noWrap/>
            <w:vAlign w:val="center"/>
          </w:tcPr>
          <w:p>
            <w:pPr>
              <w:jc w:val="center"/>
              <w:rPr>
                <w:rFonts w:eastAsia="仿宋"/>
                <w:bCs/>
              </w:rPr>
            </w:pPr>
          </w:p>
        </w:tc>
        <w:tc>
          <w:tcPr>
            <w:tcW w:w="343" w:type="pct"/>
            <w:vMerge w:val="continue"/>
            <w:noWrap/>
            <w:vAlign w:val="center"/>
          </w:tcPr>
          <w:p>
            <w:pPr>
              <w:jc w:val="center"/>
              <w:rPr>
                <w:rFonts w:eastAsia="仿宋"/>
                <w:bCs/>
              </w:rPr>
            </w:pPr>
          </w:p>
        </w:tc>
        <w:tc>
          <w:tcPr>
            <w:tcW w:w="1554" w:type="pct"/>
            <w:noWrap/>
            <w:vAlign w:val="center"/>
          </w:tcPr>
          <w:p>
            <w:pPr>
              <w:jc w:val="center"/>
              <w:rPr>
                <w:rFonts w:eastAsia="仿宋"/>
                <w:bCs/>
              </w:rPr>
            </w:pPr>
            <w:r>
              <w:rPr>
                <w:rFonts w:eastAsia="仿宋"/>
                <w:bCs/>
              </w:rPr>
              <w:t>磷泥</w:t>
            </w:r>
          </w:p>
        </w:tc>
        <w:tc>
          <w:tcPr>
            <w:tcW w:w="751" w:type="pct"/>
            <w:noWrap/>
            <w:vAlign w:val="center"/>
          </w:tcPr>
          <w:p>
            <w:pPr>
              <w:jc w:val="center"/>
              <w:rPr>
                <w:rFonts w:eastAsia="仿宋"/>
                <w:bCs/>
              </w:rPr>
            </w:pPr>
            <w:r>
              <w:rPr>
                <w:rFonts w:eastAsia="仿宋"/>
                <w:bCs/>
              </w:rPr>
              <w:t>磷等</w:t>
            </w:r>
          </w:p>
        </w:tc>
        <w:tc>
          <w:tcPr>
            <w:tcW w:w="1300" w:type="pct"/>
            <w:noWrap/>
            <w:vAlign w:val="center"/>
          </w:tcPr>
          <w:p>
            <w:pPr>
              <w:jc w:val="center"/>
              <w:rPr>
                <w:rFonts w:eastAsia="仿宋"/>
                <w:bCs/>
              </w:rPr>
            </w:pPr>
            <w:r>
              <w:rPr>
                <w:rFonts w:eastAsia="仿宋"/>
                <w:bCs/>
              </w:rPr>
              <w:t>属于一般废物，送远安兴发集团黄磷烧酸装置综合利用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6" w:type="pct"/>
            <w:vMerge w:val="continue"/>
            <w:noWrap/>
            <w:vAlign w:val="center"/>
          </w:tcPr>
          <w:p>
            <w:pPr>
              <w:jc w:val="center"/>
              <w:rPr>
                <w:rFonts w:eastAsia="仿宋"/>
              </w:rPr>
            </w:pPr>
          </w:p>
        </w:tc>
        <w:tc>
          <w:tcPr>
            <w:tcW w:w="514" w:type="pct"/>
            <w:vMerge w:val="continue"/>
            <w:noWrap/>
            <w:vAlign w:val="center"/>
          </w:tcPr>
          <w:p>
            <w:pPr>
              <w:jc w:val="center"/>
              <w:rPr>
                <w:rFonts w:eastAsia="仿宋"/>
                <w:bCs/>
              </w:rPr>
            </w:pPr>
          </w:p>
        </w:tc>
        <w:tc>
          <w:tcPr>
            <w:tcW w:w="343" w:type="pct"/>
            <w:noWrap/>
            <w:vAlign w:val="center"/>
          </w:tcPr>
          <w:p>
            <w:pPr>
              <w:jc w:val="center"/>
              <w:rPr>
                <w:rFonts w:eastAsia="仿宋"/>
                <w:bCs/>
              </w:rPr>
            </w:pPr>
            <w:r>
              <w:rPr>
                <w:rFonts w:eastAsia="仿宋"/>
                <w:bCs/>
              </w:rPr>
              <w:t>噪声</w:t>
            </w:r>
          </w:p>
        </w:tc>
        <w:tc>
          <w:tcPr>
            <w:tcW w:w="1554" w:type="pct"/>
            <w:noWrap/>
            <w:vAlign w:val="center"/>
          </w:tcPr>
          <w:p>
            <w:pPr>
              <w:jc w:val="center"/>
              <w:rPr>
                <w:rFonts w:eastAsia="仿宋"/>
                <w:bCs/>
              </w:rPr>
            </w:pPr>
            <w:r>
              <w:rPr>
                <w:rFonts w:eastAsia="仿宋"/>
                <w:bCs/>
              </w:rPr>
              <w:t>生产设备、各类泵、风机、压滤机等</w:t>
            </w:r>
          </w:p>
        </w:tc>
        <w:tc>
          <w:tcPr>
            <w:tcW w:w="751" w:type="pct"/>
            <w:noWrap/>
            <w:vAlign w:val="center"/>
          </w:tcPr>
          <w:p>
            <w:pPr>
              <w:jc w:val="center"/>
              <w:rPr>
                <w:rFonts w:eastAsia="仿宋"/>
                <w:bCs/>
              </w:rPr>
            </w:pPr>
            <w:r>
              <w:rPr>
                <w:rFonts w:eastAsia="仿宋"/>
                <w:bCs/>
              </w:rPr>
              <w:t>噪声</w:t>
            </w:r>
          </w:p>
        </w:tc>
        <w:tc>
          <w:tcPr>
            <w:tcW w:w="1300" w:type="pct"/>
            <w:noWrap/>
            <w:vAlign w:val="center"/>
          </w:tcPr>
          <w:p>
            <w:pPr>
              <w:jc w:val="center"/>
              <w:rPr>
                <w:rFonts w:eastAsia="仿宋"/>
                <w:bCs/>
              </w:rPr>
            </w:pPr>
            <w:r>
              <w:rPr>
                <w:rFonts w:eastAsia="仿宋"/>
                <w:bCs/>
              </w:rPr>
              <w:t>隔声、吸声、距离衰减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6" w:type="pct"/>
            <w:noWrap/>
            <w:vAlign w:val="center"/>
          </w:tcPr>
          <w:p>
            <w:pPr>
              <w:jc w:val="center"/>
              <w:rPr>
                <w:rFonts w:eastAsia="仿宋"/>
              </w:rPr>
            </w:pPr>
            <w:r>
              <w:rPr>
                <w:rFonts w:eastAsia="仿宋"/>
              </w:rPr>
              <w:t>生活污水</w:t>
            </w:r>
          </w:p>
        </w:tc>
        <w:tc>
          <w:tcPr>
            <w:tcW w:w="514" w:type="pct"/>
            <w:noWrap/>
            <w:vAlign w:val="center"/>
          </w:tcPr>
          <w:p>
            <w:pPr>
              <w:jc w:val="center"/>
              <w:rPr>
                <w:rFonts w:eastAsia="仿宋"/>
                <w:bCs/>
              </w:rPr>
            </w:pPr>
            <w:r>
              <w:rPr>
                <w:rFonts w:eastAsia="仿宋"/>
                <w:bCs/>
              </w:rPr>
              <w:t>－</w:t>
            </w:r>
          </w:p>
        </w:tc>
        <w:tc>
          <w:tcPr>
            <w:tcW w:w="343" w:type="pct"/>
            <w:noWrap/>
            <w:vAlign w:val="center"/>
          </w:tcPr>
          <w:p>
            <w:pPr>
              <w:jc w:val="center"/>
              <w:rPr>
                <w:rFonts w:eastAsia="仿宋"/>
                <w:bCs/>
              </w:rPr>
            </w:pPr>
            <w:r>
              <w:rPr>
                <w:rFonts w:eastAsia="仿宋"/>
                <w:bCs/>
              </w:rPr>
              <w:t>废水</w:t>
            </w:r>
          </w:p>
        </w:tc>
        <w:tc>
          <w:tcPr>
            <w:tcW w:w="1554" w:type="pct"/>
            <w:noWrap/>
            <w:vAlign w:val="center"/>
          </w:tcPr>
          <w:p>
            <w:pPr>
              <w:jc w:val="center"/>
              <w:rPr>
                <w:rFonts w:eastAsia="仿宋"/>
                <w:bCs/>
              </w:rPr>
            </w:pPr>
            <w:r>
              <w:rPr>
                <w:rFonts w:eastAsia="仿宋"/>
                <w:bCs/>
              </w:rPr>
              <w:t>车间、办公生活污水</w:t>
            </w:r>
          </w:p>
        </w:tc>
        <w:tc>
          <w:tcPr>
            <w:tcW w:w="751" w:type="pct"/>
            <w:noWrap/>
            <w:vAlign w:val="center"/>
          </w:tcPr>
          <w:p>
            <w:pPr>
              <w:jc w:val="center"/>
              <w:rPr>
                <w:rFonts w:eastAsia="仿宋"/>
                <w:bCs/>
              </w:rPr>
            </w:pPr>
            <w:r>
              <w:rPr>
                <w:rFonts w:eastAsia="仿宋"/>
                <w:bCs/>
              </w:rPr>
              <w:t>COD、pH、SS、TP等</w:t>
            </w:r>
          </w:p>
        </w:tc>
        <w:tc>
          <w:tcPr>
            <w:tcW w:w="1300" w:type="pct"/>
            <w:noWrap/>
            <w:vAlign w:val="center"/>
          </w:tcPr>
          <w:p>
            <w:pPr>
              <w:jc w:val="center"/>
              <w:rPr>
                <w:rFonts w:eastAsia="仿宋"/>
                <w:bCs/>
              </w:rPr>
            </w:pPr>
            <w:r>
              <w:rPr>
                <w:rFonts w:eastAsia="仿宋"/>
                <w:bCs/>
              </w:rPr>
              <w:t>化粪池预处理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36" w:type="pct"/>
            <w:noWrap/>
            <w:vAlign w:val="center"/>
          </w:tcPr>
          <w:p>
            <w:pPr>
              <w:jc w:val="center"/>
              <w:rPr>
                <w:rFonts w:eastAsia="仿宋"/>
              </w:rPr>
            </w:pPr>
            <w:r>
              <w:rPr>
                <w:rFonts w:eastAsia="仿宋"/>
              </w:rPr>
              <w:t>生活垃圾</w:t>
            </w:r>
          </w:p>
        </w:tc>
        <w:tc>
          <w:tcPr>
            <w:tcW w:w="514" w:type="pct"/>
            <w:noWrap/>
            <w:vAlign w:val="center"/>
          </w:tcPr>
          <w:p>
            <w:pPr>
              <w:jc w:val="center"/>
              <w:rPr>
                <w:rFonts w:eastAsia="仿宋"/>
                <w:bCs/>
              </w:rPr>
            </w:pPr>
            <w:r>
              <w:rPr>
                <w:rFonts w:eastAsia="仿宋"/>
                <w:bCs/>
              </w:rPr>
              <w:t>-</w:t>
            </w:r>
          </w:p>
        </w:tc>
        <w:tc>
          <w:tcPr>
            <w:tcW w:w="343" w:type="pct"/>
            <w:noWrap/>
            <w:vAlign w:val="center"/>
          </w:tcPr>
          <w:p>
            <w:pPr>
              <w:jc w:val="center"/>
              <w:rPr>
                <w:rFonts w:eastAsia="仿宋"/>
                <w:bCs/>
              </w:rPr>
            </w:pPr>
            <w:r>
              <w:rPr>
                <w:rFonts w:eastAsia="仿宋"/>
                <w:bCs/>
              </w:rPr>
              <w:t>固废</w:t>
            </w:r>
          </w:p>
        </w:tc>
        <w:tc>
          <w:tcPr>
            <w:tcW w:w="1554" w:type="pct"/>
            <w:noWrap/>
            <w:vAlign w:val="center"/>
          </w:tcPr>
          <w:p>
            <w:pPr>
              <w:jc w:val="center"/>
              <w:rPr>
                <w:rFonts w:eastAsia="仿宋"/>
                <w:bCs/>
              </w:rPr>
            </w:pPr>
            <w:r>
              <w:rPr>
                <w:rFonts w:eastAsia="仿宋"/>
                <w:bCs/>
              </w:rPr>
              <w:t>生活垃圾</w:t>
            </w:r>
          </w:p>
        </w:tc>
        <w:tc>
          <w:tcPr>
            <w:tcW w:w="751" w:type="pct"/>
            <w:noWrap/>
            <w:vAlign w:val="center"/>
          </w:tcPr>
          <w:p>
            <w:pPr>
              <w:jc w:val="center"/>
              <w:rPr>
                <w:rFonts w:eastAsia="仿宋"/>
                <w:bCs/>
              </w:rPr>
            </w:pPr>
            <w:r>
              <w:rPr>
                <w:rFonts w:eastAsia="仿宋"/>
                <w:bCs/>
              </w:rPr>
              <w:t>生活垃圾</w:t>
            </w:r>
          </w:p>
        </w:tc>
        <w:tc>
          <w:tcPr>
            <w:tcW w:w="1300" w:type="pct"/>
            <w:noWrap/>
            <w:vAlign w:val="center"/>
          </w:tcPr>
          <w:p>
            <w:pPr>
              <w:jc w:val="center"/>
              <w:rPr>
                <w:rFonts w:eastAsia="仿宋"/>
                <w:bCs/>
              </w:rPr>
            </w:pPr>
            <w:r>
              <w:rPr>
                <w:rFonts w:eastAsia="仿宋"/>
                <w:bCs/>
              </w:rPr>
              <w:t>设置垃圾桶，定期清运，卫生填埋</w:t>
            </w:r>
          </w:p>
        </w:tc>
      </w:tr>
    </w:tbl>
    <w:p>
      <w:pPr>
        <w:spacing w:line="520" w:lineRule="exact"/>
        <w:ind w:firstLine="560" w:firstLineChars="200"/>
        <w:rPr>
          <w:sz w:val="24"/>
        </w:rPr>
      </w:pPr>
      <w:r>
        <w:rPr>
          <w:rFonts w:hint="eastAsia" w:eastAsia="仿宋_GB2312"/>
          <w:bCs/>
          <w:kern w:val="44"/>
          <w:sz w:val="28"/>
          <w:szCs w:val="28"/>
        </w:rPr>
        <w:t>在采取拟定治理措施后，项目废气、废水等均为达标排放，所有固体废物均得到处置。</w:t>
      </w:r>
    </w:p>
    <w:p>
      <w:pPr>
        <w:pStyle w:val="5"/>
        <w:spacing w:beforeLines="0" w:afterLines="0" w:line="520" w:lineRule="exact"/>
        <w:ind w:left="0" w:firstLine="0"/>
        <w:rPr>
          <w:rFonts w:eastAsia="仿宋"/>
        </w:rPr>
      </w:pPr>
      <w:r>
        <w:rPr>
          <w:sz w:val="28"/>
          <w:szCs w:val="28"/>
        </w:rPr>
        <w:br w:type="page"/>
      </w:r>
      <w:bookmarkStart w:id="40" w:name="_Toc16958"/>
      <w:bookmarkStart w:id="41" w:name="_Toc46843263"/>
      <w:r>
        <w:rPr>
          <w:rFonts w:hAnsi="仿宋" w:eastAsia="仿宋"/>
        </w:rPr>
        <w:t>环境污染风险分析</w:t>
      </w:r>
      <w:bookmarkEnd w:id="40"/>
      <w:bookmarkEnd w:id="41"/>
    </w:p>
    <w:p>
      <w:pPr>
        <w:pStyle w:val="95"/>
        <w:spacing w:line="520" w:lineRule="exact"/>
        <w:ind w:firstLine="562"/>
        <w:jc w:val="both"/>
        <w:rPr>
          <w:rFonts w:eastAsia="仿宋"/>
          <w:b w:val="0"/>
          <w:bCs w:val="0"/>
          <w:sz w:val="28"/>
          <w:szCs w:val="28"/>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r>
        <w:rPr>
          <w:rFonts w:hAnsi="仿宋" w:eastAsia="仿宋"/>
          <w:b w:val="0"/>
          <w:bCs w:val="0"/>
          <w:sz w:val="28"/>
          <w:szCs w:val="28"/>
        </w:rPr>
        <w:t>根据《</w:t>
      </w:r>
      <w:r>
        <w:rPr>
          <w:rFonts w:hint="eastAsia" w:hAnsi="仿宋" w:eastAsia="仿宋"/>
          <w:b w:val="0"/>
          <w:bCs w:val="0"/>
          <w:sz w:val="28"/>
          <w:szCs w:val="28"/>
          <w:lang w:eastAsia="zh-CN"/>
        </w:rPr>
        <w:t>湖北航欧新材料科技有限公司</w:t>
      </w:r>
      <w:r>
        <w:rPr>
          <w:rFonts w:hAnsi="仿宋" w:eastAsia="仿宋"/>
          <w:b w:val="0"/>
          <w:bCs w:val="0"/>
          <w:sz w:val="28"/>
          <w:szCs w:val="28"/>
        </w:rPr>
        <w:t>突发环境事件风险评估报告》，</w:t>
      </w:r>
      <w:r>
        <w:rPr>
          <w:b w:val="0"/>
          <w:bCs w:val="0"/>
          <w:sz w:val="28"/>
        </w:rPr>
        <w:t>公司环境风险等级确定为</w:t>
      </w:r>
      <w:r>
        <w:rPr>
          <w:rFonts w:hint="eastAsia"/>
          <w:b w:val="0"/>
          <w:bCs w:val="0"/>
          <w:sz w:val="28"/>
          <w:lang w:eastAsia="zh-CN"/>
        </w:rPr>
        <w:t>重大</w:t>
      </w:r>
      <w:r>
        <w:rPr>
          <w:b w:val="0"/>
          <w:bCs w:val="0"/>
          <w:sz w:val="28"/>
        </w:rPr>
        <w:t>，表征为</w:t>
      </w:r>
      <w:r>
        <w:rPr>
          <w:rFonts w:hint="eastAsia"/>
          <w:b w:val="0"/>
          <w:bCs w:val="0"/>
          <w:sz w:val="28"/>
          <w:lang w:eastAsia="zh-CN"/>
        </w:rPr>
        <w:t>重大</w:t>
      </w:r>
      <w:r>
        <w:rPr>
          <w:b w:val="0"/>
          <w:bCs w:val="0"/>
          <w:sz w:val="28"/>
        </w:rPr>
        <w:t>[</w:t>
      </w:r>
      <w:r>
        <w:rPr>
          <w:rFonts w:hint="eastAsia"/>
          <w:b w:val="0"/>
          <w:bCs w:val="0"/>
          <w:sz w:val="28"/>
          <w:lang w:eastAsia="zh-CN"/>
        </w:rPr>
        <w:t>重大</w:t>
      </w:r>
      <w:r>
        <w:rPr>
          <w:b w:val="0"/>
          <w:bCs w:val="0"/>
          <w:sz w:val="28"/>
        </w:rPr>
        <w:t>-大气（</w:t>
      </w:r>
      <w:r>
        <w:rPr>
          <w:rFonts w:eastAsia="仿宋"/>
          <w:b w:val="0"/>
          <w:bCs w:val="0"/>
          <w:sz w:val="28"/>
          <w:lang w:val="en-US" w:eastAsia="zh-CN"/>
        </w:rPr>
        <w:t>Q</w:t>
      </w:r>
      <w:r>
        <w:rPr>
          <w:rFonts w:hint="eastAsia" w:eastAsia="仿宋"/>
          <w:b w:val="0"/>
          <w:bCs w:val="0"/>
          <w:sz w:val="28"/>
          <w:lang w:val="en-US" w:eastAsia="zh-CN"/>
        </w:rPr>
        <w:t>3</w:t>
      </w:r>
      <w:r>
        <w:rPr>
          <w:rFonts w:eastAsia="仿宋"/>
          <w:b w:val="0"/>
          <w:bCs w:val="0"/>
          <w:sz w:val="28"/>
          <w:lang w:val="en-US" w:eastAsia="zh-CN"/>
        </w:rPr>
        <w:t>-M</w:t>
      </w:r>
      <w:r>
        <w:rPr>
          <w:rFonts w:hint="eastAsia" w:eastAsia="仿宋"/>
          <w:b w:val="0"/>
          <w:bCs w:val="0"/>
          <w:sz w:val="28"/>
          <w:lang w:val="en-US" w:eastAsia="zh-CN"/>
        </w:rPr>
        <w:t>4</w:t>
      </w:r>
      <w:r>
        <w:rPr>
          <w:rFonts w:eastAsia="仿宋"/>
          <w:b w:val="0"/>
          <w:bCs w:val="0"/>
          <w:sz w:val="28"/>
          <w:lang w:val="en-US" w:eastAsia="zh-CN"/>
        </w:rPr>
        <w:t>-E3</w:t>
      </w:r>
      <w:r>
        <w:rPr>
          <w:b w:val="0"/>
          <w:bCs w:val="0"/>
          <w:sz w:val="28"/>
        </w:rPr>
        <w:t>）+</w:t>
      </w:r>
      <w:r>
        <w:rPr>
          <w:rFonts w:hint="eastAsia"/>
          <w:b w:val="0"/>
          <w:bCs w:val="0"/>
          <w:sz w:val="28"/>
          <w:lang w:eastAsia="zh-CN"/>
        </w:rPr>
        <w:t>重大</w:t>
      </w:r>
      <w:r>
        <w:rPr>
          <w:b w:val="0"/>
          <w:bCs w:val="0"/>
          <w:sz w:val="28"/>
        </w:rPr>
        <w:t>-水（</w:t>
      </w:r>
      <w:r>
        <w:rPr>
          <w:rFonts w:eastAsia="仿宋"/>
          <w:b w:val="0"/>
          <w:bCs w:val="0"/>
          <w:sz w:val="28"/>
          <w:lang w:val="en-US" w:eastAsia="zh-CN"/>
        </w:rPr>
        <w:t>Q</w:t>
      </w:r>
      <w:r>
        <w:rPr>
          <w:rFonts w:hint="eastAsia" w:eastAsia="仿宋"/>
          <w:b w:val="0"/>
          <w:bCs w:val="0"/>
          <w:sz w:val="28"/>
          <w:lang w:val="en-US" w:eastAsia="zh-CN"/>
        </w:rPr>
        <w:t>3</w:t>
      </w:r>
      <w:r>
        <w:rPr>
          <w:rFonts w:eastAsia="仿宋"/>
          <w:b w:val="0"/>
          <w:bCs w:val="0"/>
          <w:sz w:val="28"/>
          <w:lang w:val="en-US" w:eastAsia="zh-CN"/>
        </w:rPr>
        <w:t>-M</w:t>
      </w:r>
      <w:r>
        <w:rPr>
          <w:rFonts w:hint="eastAsia" w:eastAsia="仿宋"/>
          <w:b w:val="0"/>
          <w:bCs w:val="0"/>
          <w:sz w:val="28"/>
          <w:lang w:val="en-US" w:eastAsia="zh-CN"/>
        </w:rPr>
        <w:t>4</w:t>
      </w:r>
      <w:r>
        <w:rPr>
          <w:rFonts w:eastAsia="仿宋"/>
          <w:b w:val="0"/>
          <w:bCs w:val="0"/>
          <w:sz w:val="28"/>
          <w:lang w:val="en-US" w:eastAsia="zh-CN"/>
        </w:rPr>
        <w:t>-E3</w:t>
      </w:r>
      <w:r>
        <w:rPr>
          <w:b w:val="0"/>
          <w:bCs w:val="0"/>
          <w:sz w:val="28"/>
        </w:rPr>
        <w:t>）]</w:t>
      </w:r>
      <w:r>
        <w:rPr>
          <w:rFonts w:hAnsi="仿宋" w:eastAsia="仿宋"/>
          <w:b w:val="0"/>
          <w:bCs w:val="0"/>
          <w:sz w:val="28"/>
          <w:szCs w:val="28"/>
        </w:rPr>
        <w:t>。主要突发环境事件为危险化学品泄漏、火灾爆炸等对周边环境产生的污染，目前企业</w:t>
      </w:r>
      <w:r>
        <w:rPr>
          <w:rFonts w:hint="eastAsia" w:hAnsi="仿宋" w:eastAsia="仿宋"/>
          <w:b w:val="0"/>
          <w:bCs w:val="0"/>
          <w:sz w:val="28"/>
          <w:szCs w:val="28"/>
        </w:rPr>
        <w:t>已经</w:t>
      </w:r>
      <w:r>
        <w:rPr>
          <w:rFonts w:hAnsi="仿宋" w:eastAsia="仿宋"/>
          <w:b w:val="0"/>
          <w:bCs w:val="0"/>
          <w:sz w:val="28"/>
          <w:szCs w:val="28"/>
        </w:rPr>
        <w:t>按照相关要求编制</w:t>
      </w:r>
      <w:r>
        <w:rPr>
          <w:rFonts w:hint="eastAsia" w:hAnsi="仿宋" w:eastAsia="仿宋"/>
          <w:b w:val="0"/>
          <w:bCs w:val="0"/>
          <w:sz w:val="28"/>
          <w:szCs w:val="28"/>
        </w:rPr>
        <w:t>完成</w:t>
      </w:r>
      <w:r>
        <w:rPr>
          <w:rFonts w:eastAsia="仿宋"/>
          <w:b w:val="0"/>
          <w:bCs w:val="0"/>
          <w:sz w:val="28"/>
          <w:szCs w:val="28"/>
        </w:rPr>
        <w:t>“</w:t>
      </w:r>
      <w:r>
        <w:rPr>
          <w:rFonts w:hAnsi="仿宋" w:eastAsia="仿宋"/>
          <w:b w:val="0"/>
          <w:bCs w:val="0"/>
          <w:sz w:val="28"/>
          <w:szCs w:val="28"/>
        </w:rPr>
        <w:t>突发环境事件应急预案</w:t>
      </w:r>
      <w:r>
        <w:rPr>
          <w:rFonts w:eastAsia="仿宋"/>
          <w:b w:val="0"/>
          <w:bCs w:val="0"/>
          <w:sz w:val="28"/>
          <w:szCs w:val="28"/>
        </w:rPr>
        <w:t>”</w:t>
      </w:r>
      <w:r>
        <w:rPr>
          <w:rFonts w:hAnsi="仿宋" w:eastAsia="仿宋"/>
          <w:b w:val="0"/>
          <w:bCs w:val="0"/>
          <w:sz w:val="28"/>
          <w:szCs w:val="28"/>
        </w:rPr>
        <w:t>，强化管理和职责，有效应对突发环境事件。</w:t>
      </w:r>
    </w:p>
    <w:bookmarkEnd w:id="38"/>
    <w:bookmarkEnd w:id="39"/>
    <w:p>
      <w:pPr>
        <w:pStyle w:val="5"/>
        <w:spacing w:beforeLines="0" w:afterLines="0" w:line="520" w:lineRule="exact"/>
        <w:ind w:left="0" w:firstLine="0"/>
      </w:pPr>
      <w:bookmarkStart w:id="42" w:name="_Toc472856695"/>
      <w:bookmarkStart w:id="43" w:name="_Toc7098"/>
      <w:r>
        <w:t>应急组织机构及职责</w:t>
      </w:r>
      <w:bookmarkEnd w:id="42"/>
      <w:bookmarkEnd w:id="43"/>
    </w:p>
    <w:p>
      <w:pPr>
        <w:spacing w:line="520" w:lineRule="exact"/>
        <w:ind w:firstLine="560" w:firstLineChars="200"/>
      </w:pPr>
      <w:r>
        <w:rPr>
          <w:rFonts w:hAnsi="仿宋" w:eastAsia="仿宋"/>
          <w:sz w:val="28"/>
          <w:szCs w:val="28"/>
        </w:rPr>
        <w:t>为了降低或避免特殊情况下突发环境事件所造成的损失，确保有组织、有计划、快速地应对突发环境事件，及时地组织抢险和救援，必须建立环境应急组织机构，并明确应急组织机构各成员的职责，应急组织的建立必须遵循应急机构人员职能不交叉的原则。</w:t>
      </w:r>
    </w:p>
    <w:p>
      <w:pPr>
        <w:pStyle w:val="6"/>
        <w:spacing w:before="0" w:beforeAutospacing="0" w:line="520" w:lineRule="exact"/>
        <w:ind w:left="0" w:firstLine="0"/>
      </w:pPr>
      <w:bookmarkStart w:id="44" w:name="_Toc16363"/>
      <w:bookmarkStart w:id="45" w:name="_Toc241053014"/>
      <w:bookmarkStart w:id="46" w:name="_Toc246239560"/>
      <w:bookmarkStart w:id="47" w:name="_Toc243217984"/>
      <w:bookmarkStart w:id="48" w:name="_Toc242849924"/>
      <w:bookmarkStart w:id="49" w:name="_Toc472856699"/>
      <w:r>
        <w:t>环境应急</w:t>
      </w:r>
      <w:r>
        <w:rPr>
          <w:rFonts w:hint="eastAsia"/>
        </w:rPr>
        <w:t>救援</w:t>
      </w:r>
      <w:r>
        <w:t>小组职责</w:t>
      </w:r>
      <w:bookmarkEnd w:id="44"/>
    </w:p>
    <w:p>
      <w:pPr>
        <w:pStyle w:val="95"/>
        <w:spacing w:line="520" w:lineRule="exact"/>
        <w:ind w:firstLine="560"/>
        <w:rPr>
          <w:b w:val="0"/>
          <w:bCs w:val="0"/>
          <w:sz w:val="28"/>
          <w:szCs w:val="28"/>
        </w:rPr>
      </w:pPr>
      <w:r>
        <w:rPr>
          <w:rFonts w:hint="eastAsia"/>
          <w:b w:val="0"/>
          <w:bCs w:val="0"/>
          <w:sz w:val="28"/>
          <w:szCs w:val="28"/>
        </w:rPr>
        <w:t>根据各级文件精神，结合企业实际的防污防突发危害形势，公司结合人员职能分工，成立以单位主要负责人为领导的应急预案工作组，并明确预案任务、职责分工和工作计划等，负责指导、协调突发性环境污染事故的应对工作，应急工作组的主要职责如下：</w:t>
      </w:r>
    </w:p>
    <w:p>
      <w:pPr>
        <w:pStyle w:val="95"/>
        <w:spacing w:line="520" w:lineRule="exact"/>
        <w:ind w:firstLine="560"/>
        <w:rPr>
          <w:b w:val="0"/>
          <w:bCs w:val="0"/>
          <w:sz w:val="28"/>
          <w:szCs w:val="28"/>
        </w:rPr>
      </w:pPr>
      <w:r>
        <w:rPr>
          <w:rFonts w:hint="eastAsia"/>
          <w:b w:val="0"/>
          <w:bCs w:val="0"/>
          <w:sz w:val="28"/>
          <w:szCs w:val="28"/>
        </w:rPr>
        <w:t>（</w:t>
      </w:r>
      <w:r>
        <w:rPr>
          <w:b w:val="0"/>
          <w:bCs w:val="0"/>
          <w:sz w:val="28"/>
          <w:szCs w:val="28"/>
        </w:rPr>
        <w:t>1</w:t>
      </w:r>
      <w:r>
        <w:rPr>
          <w:rFonts w:hint="eastAsia"/>
          <w:b w:val="0"/>
          <w:bCs w:val="0"/>
          <w:sz w:val="28"/>
          <w:szCs w:val="28"/>
        </w:rPr>
        <w:t>）根据企业实际生产情况，制定本单位环境安全生产规章制度，组织相关人员学习和交流，建立起相应的监督机制，保障生产的安全运行；</w:t>
      </w:r>
    </w:p>
    <w:p>
      <w:pPr>
        <w:pStyle w:val="95"/>
        <w:spacing w:line="520" w:lineRule="exact"/>
        <w:ind w:firstLine="560"/>
        <w:rPr>
          <w:b w:val="0"/>
          <w:bCs w:val="0"/>
          <w:sz w:val="28"/>
          <w:szCs w:val="28"/>
        </w:rPr>
      </w:pPr>
      <w:r>
        <w:rPr>
          <w:rFonts w:hint="eastAsia"/>
          <w:b w:val="0"/>
          <w:bCs w:val="0"/>
          <w:sz w:val="28"/>
          <w:szCs w:val="28"/>
        </w:rPr>
        <w:t>（</w:t>
      </w:r>
      <w:r>
        <w:rPr>
          <w:b w:val="0"/>
          <w:bCs w:val="0"/>
          <w:sz w:val="28"/>
          <w:szCs w:val="28"/>
        </w:rPr>
        <w:t>2</w:t>
      </w:r>
      <w:r>
        <w:rPr>
          <w:rFonts w:hint="eastAsia"/>
          <w:b w:val="0"/>
          <w:bCs w:val="0"/>
          <w:sz w:val="28"/>
          <w:szCs w:val="28"/>
        </w:rPr>
        <w:t>）根据安全、环保生产的要求，保障用于安全、环保生产相关的设备设施投入和运行；</w:t>
      </w:r>
    </w:p>
    <w:p>
      <w:pPr>
        <w:pStyle w:val="95"/>
        <w:spacing w:line="520" w:lineRule="exact"/>
        <w:ind w:firstLine="560"/>
        <w:rPr>
          <w:b w:val="0"/>
          <w:bCs w:val="0"/>
          <w:sz w:val="28"/>
          <w:szCs w:val="28"/>
        </w:rPr>
      </w:pPr>
      <w:r>
        <w:rPr>
          <w:rFonts w:hint="eastAsia"/>
          <w:b w:val="0"/>
          <w:bCs w:val="0"/>
          <w:sz w:val="28"/>
          <w:szCs w:val="28"/>
        </w:rPr>
        <w:t>（</w:t>
      </w:r>
      <w:r>
        <w:rPr>
          <w:b w:val="0"/>
          <w:bCs w:val="0"/>
          <w:sz w:val="28"/>
          <w:szCs w:val="28"/>
        </w:rPr>
        <w:t>3</w:t>
      </w:r>
      <w:r>
        <w:rPr>
          <w:rFonts w:hint="eastAsia"/>
          <w:b w:val="0"/>
          <w:bCs w:val="0"/>
          <w:sz w:val="28"/>
          <w:szCs w:val="28"/>
        </w:rPr>
        <w:t>）建立环保、安全检查组织，及时积极对安全、环保生产进行监督和维护，预防和消除环保、安全事故隐患；</w:t>
      </w:r>
    </w:p>
    <w:p>
      <w:pPr>
        <w:pStyle w:val="95"/>
        <w:spacing w:line="520" w:lineRule="exact"/>
        <w:ind w:firstLine="560"/>
        <w:rPr>
          <w:b w:val="0"/>
          <w:bCs w:val="0"/>
          <w:sz w:val="28"/>
          <w:szCs w:val="28"/>
        </w:rPr>
      </w:pPr>
      <w:r>
        <w:rPr>
          <w:rFonts w:hint="eastAsia"/>
          <w:b w:val="0"/>
          <w:bCs w:val="0"/>
          <w:sz w:val="28"/>
          <w:szCs w:val="28"/>
        </w:rPr>
        <w:t>（</w:t>
      </w:r>
      <w:r>
        <w:rPr>
          <w:b w:val="0"/>
          <w:bCs w:val="0"/>
          <w:sz w:val="28"/>
          <w:szCs w:val="28"/>
        </w:rPr>
        <w:t>4</w:t>
      </w:r>
      <w:r>
        <w:rPr>
          <w:rFonts w:hint="eastAsia"/>
          <w:b w:val="0"/>
          <w:bCs w:val="0"/>
          <w:sz w:val="28"/>
          <w:szCs w:val="28"/>
        </w:rPr>
        <w:t>）熟悉应急预案的具体要求，并根据应急预案提出的应急物资计划组织采购储备应急物资，从人员、财力、物力等方面保证突发环境事件应急的实施需要；</w:t>
      </w:r>
    </w:p>
    <w:p>
      <w:pPr>
        <w:pStyle w:val="95"/>
        <w:spacing w:line="520" w:lineRule="exact"/>
        <w:ind w:firstLine="560"/>
        <w:rPr>
          <w:b w:val="0"/>
          <w:bCs w:val="0"/>
          <w:sz w:val="28"/>
          <w:szCs w:val="28"/>
        </w:rPr>
      </w:pPr>
      <w:r>
        <w:rPr>
          <w:rFonts w:hint="eastAsia"/>
          <w:b w:val="0"/>
          <w:bCs w:val="0"/>
          <w:sz w:val="28"/>
          <w:szCs w:val="28"/>
        </w:rPr>
        <w:t>（</w:t>
      </w:r>
      <w:r>
        <w:rPr>
          <w:b w:val="0"/>
          <w:bCs w:val="0"/>
          <w:sz w:val="28"/>
          <w:szCs w:val="28"/>
        </w:rPr>
        <w:t>5</w:t>
      </w:r>
      <w:r>
        <w:rPr>
          <w:rFonts w:hint="eastAsia"/>
          <w:b w:val="0"/>
          <w:bCs w:val="0"/>
          <w:sz w:val="28"/>
          <w:szCs w:val="28"/>
        </w:rPr>
        <w:t>）发生突发环境污染事故后，根据本预案制定的时限，及时、主动向环境应急指挥部提供应急救援有关的基础资料，如实报告有关情况以及可能造成的污染危害等</w:t>
      </w:r>
      <w:r>
        <w:rPr>
          <w:b w:val="0"/>
          <w:bCs w:val="0"/>
          <w:sz w:val="28"/>
          <w:szCs w:val="28"/>
        </w:rPr>
        <w:t>;</w:t>
      </w:r>
    </w:p>
    <w:p>
      <w:pPr>
        <w:pStyle w:val="95"/>
        <w:spacing w:line="520" w:lineRule="exact"/>
        <w:ind w:firstLine="560"/>
        <w:rPr>
          <w:b w:val="0"/>
          <w:bCs w:val="0"/>
          <w:sz w:val="28"/>
          <w:szCs w:val="28"/>
        </w:rPr>
      </w:pPr>
      <w:r>
        <w:rPr>
          <w:rFonts w:hint="eastAsia"/>
          <w:b w:val="0"/>
          <w:bCs w:val="0"/>
          <w:sz w:val="28"/>
          <w:szCs w:val="28"/>
        </w:rPr>
        <w:t>（</w:t>
      </w:r>
      <w:r>
        <w:rPr>
          <w:b w:val="0"/>
          <w:bCs w:val="0"/>
          <w:sz w:val="28"/>
          <w:szCs w:val="28"/>
        </w:rPr>
        <w:t>6</w:t>
      </w:r>
      <w:r>
        <w:rPr>
          <w:rFonts w:hint="eastAsia"/>
          <w:b w:val="0"/>
          <w:bCs w:val="0"/>
          <w:sz w:val="28"/>
          <w:szCs w:val="28"/>
        </w:rPr>
        <w:t>）全权负责事故应急处置的组织指挥，并根据事故的性质、类别实施应急措施，结合实际决策总体救援处置方案；</w:t>
      </w:r>
    </w:p>
    <w:p>
      <w:pPr>
        <w:pStyle w:val="95"/>
        <w:spacing w:line="520" w:lineRule="exact"/>
        <w:ind w:firstLine="560"/>
        <w:rPr>
          <w:b w:val="0"/>
          <w:bCs w:val="0"/>
          <w:sz w:val="28"/>
          <w:szCs w:val="28"/>
        </w:rPr>
      </w:pPr>
      <w:r>
        <w:rPr>
          <w:rFonts w:hint="eastAsia"/>
          <w:b w:val="0"/>
          <w:bCs w:val="0"/>
          <w:sz w:val="28"/>
          <w:szCs w:val="28"/>
        </w:rPr>
        <w:t>（</w:t>
      </w:r>
      <w:r>
        <w:rPr>
          <w:b w:val="0"/>
          <w:bCs w:val="0"/>
          <w:sz w:val="28"/>
          <w:szCs w:val="28"/>
        </w:rPr>
        <w:t>7</w:t>
      </w:r>
      <w:r>
        <w:rPr>
          <w:rFonts w:hint="eastAsia"/>
          <w:b w:val="0"/>
          <w:bCs w:val="0"/>
          <w:sz w:val="28"/>
          <w:szCs w:val="28"/>
        </w:rPr>
        <w:t>）调度事故救援所需要的人、财、物的力量，并根据事态发展，适时调整事故处置方案。</w:t>
      </w:r>
    </w:p>
    <w:p>
      <w:pPr>
        <w:pStyle w:val="6"/>
        <w:spacing w:before="0" w:beforeAutospacing="0" w:line="520" w:lineRule="exact"/>
        <w:ind w:left="0" w:firstLine="0"/>
      </w:pPr>
      <w:bookmarkStart w:id="50" w:name="_Toc32219"/>
      <w:r>
        <w:t>指挥机构组成</w:t>
      </w:r>
      <w:bookmarkEnd w:id="50"/>
    </w:p>
    <w:p>
      <w:pPr>
        <w:pStyle w:val="95"/>
        <w:spacing w:line="520" w:lineRule="exact"/>
        <w:ind w:firstLine="560"/>
        <w:rPr>
          <w:b w:val="0"/>
          <w:bCs w:val="0"/>
          <w:sz w:val="28"/>
          <w:szCs w:val="28"/>
          <w:lang w:val="zh-CN"/>
        </w:rPr>
      </w:pPr>
      <w:r>
        <w:rPr>
          <w:rFonts w:hint="eastAsia"/>
          <w:b w:val="0"/>
          <w:bCs w:val="0"/>
          <w:sz w:val="28"/>
          <w:szCs w:val="28"/>
          <w:lang w:val="zh-CN"/>
        </w:rPr>
        <w:t>公司“应急救援小组”成员名单如下：</w:t>
      </w:r>
    </w:p>
    <w:p>
      <w:pPr>
        <w:pStyle w:val="95"/>
        <w:spacing w:line="520" w:lineRule="exact"/>
        <w:ind w:firstLine="560"/>
        <w:rPr>
          <w:b w:val="0"/>
          <w:bCs w:val="0"/>
          <w:sz w:val="28"/>
          <w:szCs w:val="28"/>
          <w:lang w:val="zh-CN"/>
        </w:rPr>
      </w:pPr>
      <w:r>
        <w:rPr>
          <w:rFonts w:hint="eastAsia"/>
          <w:b w:val="0"/>
          <w:bCs w:val="0"/>
          <w:sz w:val="28"/>
          <w:szCs w:val="28"/>
          <w:lang w:val="zh-CN"/>
        </w:rPr>
        <w:t>（1）应急指挥组</w:t>
      </w:r>
    </w:p>
    <w:p>
      <w:pPr>
        <w:pStyle w:val="95"/>
        <w:spacing w:line="520" w:lineRule="exact"/>
        <w:ind w:firstLine="560"/>
        <w:rPr>
          <w:b w:val="0"/>
          <w:bCs w:val="0"/>
          <w:sz w:val="28"/>
          <w:szCs w:val="28"/>
        </w:rPr>
      </w:pPr>
      <w:r>
        <w:rPr>
          <w:rFonts w:hint="eastAsia"/>
          <w:b w:val="0"/>
          <w:bCs w:val="0"/>
          <w:sz w:val="28"/>
          <w:szCs w:val="28"/>
          <w:lang w:val="zh-CN"/>
        </w:rPr>
        <w:t>总指挥长：况庆雷</w:t>
      </w:r>
    </w:p>
    <w:p>
      <w:pPr>
        <w:pStyle w:val="95"/>
        <w:spacing w:line="520" w:lineRule="exact"/>
        <w:ind w:firstLine="560"/>
        <w:rPr>
          <w:b w:val="0"/>
          <w:bCs w:val="0"/>
          <w:sz w:val="28"/>
          <w:szCs w:val="28"/>
          <w:lang w:val="zh-CN"/>
        </w:rPr>
      </w:pPr>
      <w:r>
        <w:rPr>
          <w:rFonts w:hint="eastAsia"/>
          <w:b w:val="0"/>
          <w:bCs w:val="0"/>
          <w:sz w:val="28"/>
          <w:szCs w:val="28"/>
          <w:lang w:val="zh-CN"/>
        </w:rPr>
        <w:t>成员：孟涛、刘雪辉、赵先玉、李红、赵新国、刘磊</w:t>
      </w:r>
    </w:p>
    <w:p>
      <w:pPr>
        <w:pStyle w:val="95"/>
        <w:spacing w:line="520" w:lineRule="exact"/>
        <w:ind w:firstLine="560"/>
        <w:rPr>
          <w:b w:val="0"/>
          <w:bCs w:val="0"/>
          <w:sz w:val="28"/>
          <w:szCs w:val="28"/>
          <w:lang w:val="zh-CN"/>
        </w:rPr>
      </w:pPr>
      <w:r>
        <w:rPr>
          <w:rFonts w:hint="eastAsia"/>
          <w:b w:val="0"/>
          <w:bCs w:val="0"/>
          <w:sz w:val="28"/>
          <w:szCs w:val="28"/>
          <w:lang w:val="zh-CN"/>
        </w:rPr>
        <w:t>（2）专业救援组</w:t>
      </w:r>
    </w:p>
    <w:p>
      <w:pPr>
        <w:pStyle w:val="95"/>
        <w:spacing w:line="520" w:lineRule="exact"/>
        <w:ind w:firstLine="560"/>
        <w:rPr>
          <w:b w:val="0"/>
          <w:bCs w:val="0"/>
          <w:sz w:val="28"/>
          <w:szCs w:val="28"/>
          <w:lang w:val="zh-CN"/>
        </w:rPr>
      </w:pPr>
      <w:r>
        <w:rPr>
          <w:rFonts w:hint="eastAsia"/>
          <w:b w:val="0"/>
          <w:bCs w:val="0"/>
          <w:sz w:val="28"/>
          <w:szCs w:val="28"/>
          <w:lang w:val="zh-CN"/>
        </w:rPr>
        <w:t>应急救援小组负责人及联系方式见下表：</w:t>
      </w:r>
    </w:p>
    <w:p>
      <w:pPr>
        <w:jc w:val="center"/>
        <w:rPr>
          <w:rFonts w:eastAsia="仿宋"/>
          <w:sz w:val="28"/>
          <w:szCs w:val="28"/>
        </w:rPr>
      </w:pPr>
      <w:r>
        <w:rPr>
          <w:rFonts w:eastAsia="仿宋"/>
          <w:sz w:val="28"/>
          <w:szCs w:val="28"/>
        </w:rPr>
        <w:t>表</w:t>
      </w:r>
      <w:r>
        <w:rPr>
          <w:rFonts w:hint="eastAsia" w:eastAsia="仿宋"/>
          <w:sz w:val="28"/>
          <w:szCs w:val="28"/>
        </w:rPr>
        <w:t>4.2-1</w:t>
      </w:r>
      <w:r>
        <w:rPr>
          <w:rFonts w:eastAsia="仿宋"/>
          <w:sz w:val="28"/>
          <w:szCs w:val="28"/>
        </w:rPr>
        <w:t xml:space="preserve">  公司“应急救援小组”负责人通讯联络号码</w:t>
      </w:r>
    </w:p>
    <w:tbl>
      <w:tblPr>
        <w:tblStyle w:val="35"/>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04"/>
        <w:gridCol w:w="1946"/>
        <w:gridCol w:w="3086"/>
        <w:gridCol w:w="198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83" w:type="pct"/>
            <w:tcBorders>
              <w:top w:val="single" w:color="auto" w:sz="12" w:space="0"/>
            </w:tcBorders>
            <w:noWrap/>
            <w:vAlign w:val="center"/>
          </w:tcPr>
          <w:p>
            <w:pPr>
              <w:jc w:val="center"/>
              <w:rPr>
                <w:rFonts w:eastAsia="仿宋"/>
                <w:b/>
                <w:bCs/>
                <w:kern w:val="0"/>
              </w:rPr>
            </w:pPr>
            <w:r>
              <w:rPr>
                <w:rFonts w:eastAsia="仿宋"/>
                <w:b/>
                <w:bCs/>
                <w:kern w:val="0"/>
              </w:rPr>
              <w:t>应急职务</w:t>
            </w:r>
          </w:p>
        </w:tc>
        <w:tc>
          <w:tcPr>
            <w:tcW w:w="1142" w:type="pct"/>
            <w:tcBorders>
              <w:top w:val="single" w:color="auto" w:sz="12" w:space="0"/>
            </w:tcBorders>
            <w:noWrap/>
            <w:vAlign w:val="center"/>
          </w:tcPr>
          <w:p>
            <w:pPr>
              <w:jc w:val="center"/>
              <w:rPr>
                <w:rFonts w:eastAsia="仿宋"/>
                <w:b/>
                <w:bCs/>
                <w:kern w:val="0"/>
              </w:rPr>
            </w:pPr>
            <w:r>
              <w:rPr>
                <w:rFonts w:eastAsia="仿宋"/>
                <w:b/>
                <w:bCs/>
                <w:kern w:val="0"/>
              </w:rPr>
              <w:t>姓名</w:t>
            </w:r>
          </w:p>
        </w:tc>
        <w:tc>
          <w:tcPr>
            <w:tcW w:w="1811" w:type="pct"/>
            <w:tcBorders>
              <w:top w:val="single" w:color="auto" w:sz="12" w:space="0"/>
            </w:tcBorders>
            <w:noWrap/>
            <w:vAlign w:val="center"/>
          </w:tcPr>
          <w:p>
            <w:pPr>
              <w:jc w:val="center"/>
              <w:rPr>
                <w:rFonts w:eastAsia="仿宋"/>
                <w:b/>
                <w:bCs/>
                <w:kern w:val="0"/>
              </w:rPr>
            </w:pPr>
            <w:r>
              <w:rPr>
                <w:rFonts w:eastAsia="仿宋"/>
                <w:b/>
                <w:bCs/>
                <w:kern w:val="0"/>
              </w:rPr>
              <w:t>企业职务</w:t>
            </w:r>
          </w:p>
        </w:tc>
        <w:tc>
          <w:tcPr>
            <w:tcW w:w="1163" w:type="pct"/>
            <w:tcBorders>
              <w:top w:val="single" w:color="auto" w:sz="12" w:space="0"/>
            </w:tcBorders>
            <w:noWrap/>
            <w:vAlign w:val="center"/>
          </w:tcPr>
          <w:p>
            <w:pPr>
              <w:jc w:val="center"/>
              <w:rPr>
                <w:rFonts w:eastAsia="仿宋"/>
                <w:b/>
                <w:bCs/>
                <w:kern w:val="0"/>
              </w:rPr>
            </w:pPr>
            <w:r>
              <w:rPr>
                <w:rFonts w:eastAsia="仿宋"/>
                <w:b/>
                <w:bCs/>
                <w:kern w:val="0"/>
              </w:rPr>
              <w:t>联系电话</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4"/>
            <w:noWrap/>
            <w:vAlign w:val="center"/>
          </w:tcPr>
          <w:p>
            <w:pPr>
              <w:rPr>
                <w:rFonts w:eastAsia="仿宋"/>
                <w:kern w:val="0"/>
              </w:rPr>
            </w:pPr>
            <w:r>
              <w:rPr>
                <w:rFonts w:eastAsia="仿宋"/>
                <w:kern w:val="0"/>
              </w:rPr>
              <w:t>（1）工作领导小组成员：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83" w:type="pct"/>
            <w:noWrap/>
            <w:vAlign w:val="center"/>
          </w:tcPr>
          <w:p>
            <w:pPr>
              <w:jc w:val="center"/>
              <w:rPr>
                <w:rFonts w:eastAsia="仿宋"/>
                <w:kern w:val="0"/>
              </w:rPr>
            </w:pPr>
            <w:r>
              <w:rPr>
                <w:rFonts w:eastAsia="仿宋"/>
                <w:kern w:val="0"/>
              </w:rPr>
              <w:t>总指挥</w:t>
            </w:r>
          </w:p>
        </w:tc>
        <w:tc>
          <w:tcPr>
            <w:tcW w:w="1142" w:type="pct"/>
            <w:noWrap/>
            <w:vAlign w:val="center"/>
          </w:tcPr>
          <w:p>
            <w:pPr>
              <w:jc w:val="center"/>
              <w:rPr>
                <w:rFonts w:eastAsia="仿宋"/>
                <w:kern w:val="0"/>
              </w:rPr>
            </w:pPr>
            <w:r>
              <w:rPr>
                <w:rFonts w:hint="eastAsia" w:eastAsia="仿宋"/>
                <w:kern w:val="0"/>
              </w:rPr>
              <w:t>况庆雷</w:t>
            </w:r>
          </w:p>
        </w:tc>
        <w:tc>
          <w:tcPr>
            <w:tcW w:w="1811" w:type="pct"/>
            <w:noWrap/>
            <w:vAlign w:val="center"/>
          </w:tcPr>
          <w:p>
            <w:pPr>
              <w:jc w:val="center"/>
              <w:rPr>
                <w:rFonts w:eastAsia="仿宋"/>
                <w:kern w:val="0"/>
              </w:rPr>
            </w:pPr>
            <w:r>
              <w:rPr>
                <w:rFonts w:hint="eastAsia" w:eastAsia="仿宋"/>
                <w:kern w:val="0"/>
              </w:rPr>
              <w:t>法人</w:t>
            </w:r>
          </w:p>
        </w:tc>
        <w:tc>
          <w:tcPr>
            <w:tcW w:w="1163" w:type="pct"/>
            <w:noWrap/>
            <w:vAlign w:val="center"/>
          </w:tcPr>
          <w:p>
            <w:pPr>
              <w:jc w:val="center"/>
              <w:rPr>
                <w:rFonts w:eastAsia="仿宋"/>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83" w:type="pct"/>
            <w:noWrap/>
            <w:vAlign w:val="center"/>
          </w:tcPr>
          <w:p>
            <w:pPr>
              <w:jc w:val="center"/>
              <w:rPr>
                <w:rFonts w:eastAsia="仿宋"/>
                <w:kern w:val="0"/>
              </w:rPr>
            </w:pPr>
            <w:r>
              <w:rPr>
                <w:rFonts w:hint="eastAsia" w:eastAsia="仿宋"/>
                <w:kern w:val="0"/>
              </w:rPr>
              <w:t>副</w:t>
            </w:r>
            <w:r>
              <w:rPr>
                <w:rFonts w:eastAsia="仿宋"/>
                <w:kern w:val="0"/>
              </w:rPr>
              <w:t>总指挥</w:t>
            </w:r>
          </w:p>
        </w:tc>
        <w:tc>
          <w:tcPr>
            <w:tcW w:w="1142" w:type="pct"/>
            <w:noWrap/>
            <w:vAlign w:val="center"/>
          </w:tcPr>
          <w:p>
            <w:pPr>
              <w:jc w:val="center"/>
              <w:rPr>
                <w:rFonts w:eastAsia="仿宋"/>
                <w:kern w:val="0"/>
              </w:rPr>
            </w:pPr>
            <w:r>
              <w:rPr>
                <w:rFonts w:hint="eastAsia" w:eastAsia="仿宋"/>
                <w:kern w:val="0"/>
              </w:rPr>
              <w:t>孟涛</w:t>
            </w:r>
          </w:p>
        </w:tc>
        <w:tc>
          <w:tcPr>
            <w:tcW w:w="1811" w:type="pct"/>
            <w:noWrap/>
            <w:vAlign w:val="center"/>
          </w:tcPr>
          <w:p>
            <w:pPr>
              <w:jc w:val="center"/>
              <w:rPr>
                <w:rFonts w:eastAsia="仿宋"/>
                <w:kern w:val="0"/>
              </w:rPr>
            </w:pPr>
            <w:r>
              <w:rPr>
                <w:rFonts w:hint="eastAsia" w:eastAsia="仿宋"/>
                <w:kern w:val="0"/>
              </w:rPr>
              <w:t>安环部经理</w:t>
            </w:r>
          </w:p>
        </w:tc>
        <w:tc>
          <w:tcPr>
            <w:tcW w:w="1163" w:type="pct"/>
            <w:noWrap/>
            <w:vAlign w:val="center"/>
          </w:tcPr>
          <w:p>
            <w:pPr>
              <w:jc w:val="center"/>
              <w:rPr>
                <w:rFonts w:eastAsia="仿宋"/>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4"/>
            <w:noWrap/>
            <w:vAlign w:val="center"/>
          </w:tcPr>
          <w:p>
            <w:pPr>
              <w:jc w:val="left"/>
              <w:rPr>
                <w:rFonts w:eastAsia="仿宋"/>
                <w:kern w:val="0"/>
              </w:rPr>
            </w:pPr>
            <w:r>
              <w:rPr>
                <w:rFonts w:eastAsia="仿宋"/>
                <w:kern w:val="0"/>
              </w:rPr>
              <w:t>（2）各工作小组成员：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4"/>
            <w:noWrap/>
            <w:vAlign w:val="center"/>
          </w:tcPr>
          <w:p>
            <w:pPr>
              <w:jc w:val="left"/>
              <w:rPr>
                <w:rFonts w:eastAsia="仿宋"/>
                <w:kern w:val="0"/>
              </w:rPr>
            </w:pPr>
            <w:r>
              <w:rPr>
                <w:rFonts w:eastAsia="仿宋"/>
                <w:kern w:val="0"/>
              </w:rPr>
              <w:t>①抢险救援</w:t>
            </w:r>
            <w:r>
              <w:rPr>
                <w:rFonts w:hint="eastAsia" w:eastAsia="仿宋"/>
                <w:kern w:val="0"/>
              </w:rPr>
              <w:t>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83" w:type="pct"/>
            <w:noWrap/>
            <w:vAlign w:val="center"/>
          </w:tcPr>
          <w:p>
            <w:pPr>
              <w:jc w:val="center"/>
              <w:rPr>
                <w:rFonts w:eastAsia="仿宋"/>
                <w:color w:val="FF0000"/>
                <w:kern w:val="0"/>
              </w:rPr>
            </w:pPr>
            <w:r>
              <w:rPr>
                <w:rFonts w:eastAsia="仿宋"/>
                <w:kern w:val="0"/>
              </w:rPr>
              <w:t>队长：</w:t>
            </w:r>
          </w:p>
        </w:tc>
        <w:tc>
          <w:tcPr>
            <w:tcW w:w="1142" w:type="pct"/>
            <w:noWrap/>
            <w:vAlign w:val="center"/>
          </w:tcPr>
          <w:p>
            <w:pPr>
              <w:jc w:val="center"/>
              <w:rPr>
                <w:rFonts w:eastAsia="仿宋"/>
                <w:kern w:val="0"/>
              </w:rPr>
            </w:pPr>
            <w:r>
              <w:rPr>
                <w:rFonts w:hint="eastAsia" w:eastAsia="仿宋"/>
                <w:kern w:val="0"/>
              </w:rPr>
              <w:t>刘雪辉</w:t>
            </w:r>
          </w:p>
        </w:tc>
        <w:tc>
          <w:tcPr>
            <w:tcW w:w="1811" w:type="pct"/>
            <w:noWrap/>
            <w:vAlign w:val="center"/>
          </w:tcPr>
          <w:p>
            <w:pPr>
              <w:jc w:val="center"/>
              <w:rPr>
                <w:rFonts w:eastAsia="仿宋"/>
                <w:kern w:val="0"/>
              </w:rPr>
            </w:pPr>
            <w:r>
              <w:rPr>
                <w:rFonts w:hint="eastAsia" w:eastAsia="仿宋"/>
                <w:kern w:val="0"/>
              </w:rPr>
              <w:t>磷化分厂厂长</w:t>
            </w:r>
          </w:p>
        </w:tc>
        <w:tc>
          <w:tcPr>
            <w:tcW w:w="1163" w:type="pct"/>
            <w:noWrap/>
            <w:vAlign w:val="center"/>
          </w:tcPr>
          <w:p>
            <w:pPr>
              <w:jc w:val="center"/>
              <w:rPr>
                <w:rFonts w:eastAsia="仿宋"/>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4"/>
            <w:noWrap/>
            <w:vAlign w:val="center"/>
          </w:tcPr>
          <w:p>
            <w:pPr>
              <w:jc w:val="left"/>
              <w:rPr>
                <w:rFonts w:eastAsia="仿宋"/>
                <w:kern w:val="0"/>
              </w:rPr>
            </w:pPr>
            <w:r>
              <w:rPr>
                <w:rFonts w:hint="eastAsia" w:ascii="宋体" w:hAnsi="宋体" w:cs="宋体"/>
                <w:kern w:val="0"/>
              </w:rPr>
              <w:t>②</w:t>
            </w:r>
            <w:r>
              <w:rPr>
                <w:rFonts w:eastAsia="仿宋"/>
                <w:kern w:val="0"/>
              </w:rPr>
              <w:t>医疗救护</w:t>
            </w:r>
            <w:r>
              <w:rPr>
                <w:rFonts w:hint="eastAsia" w:eastAsia="仿宋"/>
                <w:kern w:val="0"/>
              </w:rPr>
              <w:t>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83" w:type="pct"/>
            <w:noWrap/>
            <w:vAlign w:val="center"/>
          </w:tcPr>
          <w:p>
            <w:pPr>
              <w:jc w:val="center"/>
              <w:rPr>
                <w:rFonts w:eastAsia="仿宋"/>
                <w:kern w:val="0"/>
              </w:rPr>
            </w:pPr>
            <w:r>
              <w:rPr>
                <w:rFonts w:eastAsia="仿宋"/>
                <w:kern w:val="0"/>
              </w:rPr>
              <w:t>队长：</w:t>
            </w:r>
          </w:p>
        </w:tc>
        <w:tc>
          <w:tcPr>
            <w:tcW w:w="1142" w:type="pct"/>
            <w:noWrap/>
            <w:vAlign w:val="center"/>
          </w:tcPr>
          <w:p>
            <w:pPr>
              <w:jc w:val="center"/>
              <w:rPr>
                <w:rFonts w:eastAsia="仿宋"/>
                <w:kern w:val="0"/>
              </w:rPr>
            </w:pPr>
            <w:r>
              <w:rPr>
                <w:rFonts w:hint="eastAsia" w:eastAsia="仿宋"/>
                <w:kern w:val="0"/>
              </w:rPr>
              <w:t>赵先玉</w:t>
            </w:r>
          </w:p>
        </w:tc>
        <w:tc>
          <w:tcPr>
            <w:tcW w:w="1811" w:type="pct"/>
            <w:noWrap/>
            <w:vAlign w:val="center"/>
          </w:tcPr>
          <w:p>
            <w:pPr>
              <w:jc w:val="center"/>
              <w:rPr>
                <w:rFonts w:eastAsia="仿宋"/>
                <w:kern w:val="0"/>
              </w:rPr>
            </w:pPr>
            <w:r>
              <w:rPr>
                <w:rFonts w:hint="eastAsia" w:eastAsia="仿宋"/>
                <w:kern w:val="0"/>
              </w:rPr>
              <w:t>安环质量部</w:t>
            </w:r>
          </w:p>
        </w:tc>
        <w:tc>
          <w:tcPr>
            <w:tcW w:w="1163" w:type="pct"/>
            <w:noWrap/>
            <w:vAlign w:val="center"/>
          </w:tcPr>
          <w:p>
            <w:pPr>
              <w:jc w:val="center"/>
              <w:rPr>
                <w:rFonts w:eastAsia="仿宋"/>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4"/>
            <w:noWrap/>
            <w:vAlign w:val="center"/>
          </w:tcPr>
          <w:p>
            <w:pPr>
              <w:jc w:val="left"/>
              <w:rPr>
                <w:rFonts w:eastAsia="仿宋"/>
                <w:kern w:val="0"/>
              </w:rPr>
            </w:pPr>
            <w:r>
              <w:rPr>
                <w:rFonts w:hint="eastAsia" w:ascii="宋体" w:hAnsi="宋体" w:cs="宋体"/>
                <w:kern w:val="0"/>
              </w:rPr>
              <w:t>③</w:t>
            </w:r>
            <w:r>
              <w:rPr>
                <w:rFonts w:hint="eastAsia" w:eastAsia="仿宋"/>
                <w:kern w:val="0"/>
              </w:rPr>
              <w:t>善后处理组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83" w:type="pct"/>
            <w:noWrap/>
            <w:vAlign w:val="center"/>
          </w:tcPr>
          <w:p>
            <w:pPr>
              <w:jc w:val="center"/>
              <w:rPr>
                <w:rFonts w:eastAsia="仿宋"/>
                <w:kern w:val="0"/>
              </w:rPr>
            </w:pPr>
            <w:r>
              <w:rPr>
                <w:rFonts w:eastAsia="仿宋"/>
                <w:kern w:val="0"/>
              </w:rPr>
              <w:t>队长：</w:t>
            </w:r>
          </w:p>
        </w:tc>
        <w:tc>
          <w:tcPr>
            <w:tcW w:w="1142" w:type="pct"/>
            <w:noWrap/>
            <w:vAlign w:val="center"/>
          </w:tcPr>
          <w:p>
            <w:pPr>
              <w:jc w:val="center"/>
              <w:rPr>
                <w:rFonts w:eastAsia="仿宋"/>
                <w:kern w:val="0"/>
              </w:rPr>
            </w:pPr>
            <w:r>
              <w:rPr>
                <w:rFonts w:hint="eastAsia" w:eastAsia="仿宋"/>
                <w:kern w:val="0"/>
              </w:rPr>
              <w:t>李红</w:t>
            </w:r>
          </w:p>
        </w:tc>
        <w:tc>
          <w:tcPr>
            <w:tcW w:w="1811" w:type="pct"/>
            <w:noWrap/>
            <w:vAlign w:val="center"/>
          </w:tcPr>
          <w:p>
            <w:pPr>
              <w:jc w:val="center"/>
              <w:rPr>
                <w:rFonts w:eastAsia="仿宋"/>
                <w:kern w:val="0"/>
              </w:rPr>
            </w:pPr>
            <w:r>
              <w:rPr>
                <w:rFonts w:hint="eastAsia" w:eastAsia="仿宋"/>
                <w:kern w:val="0"/>
              </w:rPr>
              <w:t>综合办公室</w:t>
            </w:r>
          </w:p>
        </w:tc>
        <w:tc>
          <w:tcPr>
            <w:tcW w:w="1163" w:type="pct"/>
            <w:noWrap/>
            <w:vAlign w:val="center"/>
          </w:tcPr>
          <w:p>
            <w:pPr>
              <w:jc w:val="center"/>
              <w:rPr>
                <w:rFonts w:eastAsia="仿宋"/>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4"/>
            <w:noWrap/>
            <w:vAlign w:val="center"/>
          </w:tcPr>
          <w:p>
            <w:pPr>
              <w:jc w:val="left"/>
              <w:rPr>
                <w:rFonts w:eastAsia="仿宋"/>
                <w:kern w:val="0"/>
              </w:rPr>
            </w:pPr>
            <w:r>
              <w:rPr>
                <w:rFonts w:hint="eastAsia" w:ascii="宋体" w:hAnsi="宋体" w:cs="宋体"/>
              </w:rPr>
              <w:t>④</w:t>
            </w:r>
            <w:r>
              <w:rPr>
                <w:rFonts w:hint="eastAsia" w:eastAsia="仿宋"/>
                <w:kern w:val="0"/>
              </w:rPr>
              <w:t>污染控制组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83" w:type="pct"/>
            <w:noWrap/>
            <w:vAlign w:val="center"/>
          </w:tcPr>
          <w:p>
            <w:pPr>
              <w:jc w:val="center"/>
              <w:rPr>
                <w:rFonts w:eastAsia="仿宋"/>
                <w:kern w:val="0"/>
              </w:rPr>
            </w:pPr>
            <w:r>
              <w:rPr>
                <w:rFonts w:eastAsia="仿宋"/>
                <w:kern w:val="0"/>
              </w:rPr>
              <w:t>队长：</w:t>
            </w:r>
          </w:p>
        </w:tc>
        <w:tc>
          <w:tcPr>
            <w:tcW w:w="1142" w:type="pct"/>
            <w:noWrap/>
            <w:vAlign w:val="center"/>
          </w:tcPr>
          <w:p>
            <w:pPr>
              <w:jc w:val="center"/>
              <w:rPr>
                <w:rFonts w:eastAsia="仿宋"/>
                <w:kern w:val="0"/>
              </w:rPr>
            </w:pPr>
            <w:r>
              <w:rPr>
                <w:rFonts w:hint="eastAsia" w:eastAsia="仿宋"/>
                <w:kern w:val="0"/>
              </w:rPr>
              <w:t>赵新国</w:t>
            </w:r>
          </w:p>
        </w:tc>
        <w:tc>
          <w:tcPr>
            <w:tcW w:w="1811" w:type="pct"/>
            <w:noWrap/>
            <w:vAlign w:val="center"/>
          </w:tcPr>
          <w:p>
            <w:pPr>
              <w:jc w:val="center"/>
              <w:rPr>
                <w:rFonts w:eastAsia="仿宋"/>
                <w:kern w:val="0"/>
              </w:rPr>
            </w:pPr>
            <w:r>
              <w:rPr>
                <w:rFonts w:hint="eastAsia" w:eastAsia="仿宋"/>
                <w:kern w:val="0"/>
              </w:rPr>
              <w:t>主任工程师</w:t>
            </w:r>
          </w:p>
        </w:tc>
        <w:tc>
          <w:tcPr>
            <w:tcW w:w="1163" w:type="pct"/>
            <w:noWrap/>
            <w:vAlign w:val="center"/>
          </w:tcPr>
          <w:p>
            <w:pPr>
              <w:jc w:val="center"/>
              <w:rPr>
                <w:rFonts w:eastAsia="仿宋"/>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000" w:type="pct"/>
            <w:gridSpan w:val="4"/>
            <w:noWrap/>
            <w:vAlign w:val="center"/>
          </w:tcPr>
          <w:p>
            <w:pPr>
              <w:jc w:val="left"/>
              <w:rPr>
                <w:rFonts w:eastAsia="仿宋"/>
                <w:kern w:val="0"/>
              </w:rPr>
            </w:pPr>
            <w:r>
              <w:rPr>
                <w:rFonts w:hint="eastAsia" w:ascii="宋体" w:hAnsi="宋体" w:cs="宋体"/>
              </w:rPr>
              <w:t>⑤</w:t>
            </w:r>
            <w:r>
              <w:rPr>
                <w:rFonts w:hint="eastAsia" w:eastAsia="仿宋"/>
                <w:kern w:val="0"/>
              </w:rPr>
              <w:t>警戒疏散组</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04" w:type="dxa"/>
            <w:noWrap/>
            <w:vAlign w:val="center"/>
          </w:tcPr>
          <w:p>
            <w:pPr>
              <w:jc w:val="center"/>
              <w:rPr>
                <w:rFonts w:eastAsia="仿宋"/>
                <w:kern w:val="0"/>
              </w:rPr>
            </w:pPr>
            <w:r>
              <w:rPr>
                <w:rFonts w:eastAsia="仿宋"/>
                <w:kern w:val="0"/>
              </w:rPr>
              <w:t>队长：</w:t>
            </w:r>
          </w:p>
        </w:tc>
        <w:tc>
          <w:tcPr>
            <w:tcW w:w="1946" w:type="dxa"/>
            <w:noWrap/>
            <w:vAlign w:val="center"/>
          </w:tcPr>
          <w:p>
            <w:pPr>
              <w:jc w:val="center"/>
              <w:rPr>
                <w:rFonts w:eastAsia="仿宋"/>
                <w:kern w:val="0"/>
              </w:rPr>
            </w:pPr>
            <w:r>
              <w:rPr>
                <w:rFonts w:hint="eastAsia" w:eastAsia="仿宋"/>
                <w:kern w:val="0"/>
              </w:rPr>
              <w:t>刘磊</w:t>
            </w:r>
          </w:p>
        </w:tc>
        <w:tc>
          <w:tcPr>
            <w:tcW w:w="3086" w:type="dxa"/>
            <w:noWrap/>
            <w:vAlign w:val="center"/>
          </w:tcPr>
          <w:p>
            <w:pPr>
              <w:jc w:val="center"/>
              <w:rPr>
                <w:rFonts w:eastAsia="仿宋"/>
                <w:kern w:val="0"/>
              </w:rPr>
            </w:pPr>
            <w:r>
              <w:rPr>
                <w:rFonts w:hint="eastAsia" w:eastAsia="仿宋"/>
                <w:kern w:val="0"/>
              </w:rPr>
              <w:t>安全主任</w:t>
            </w:r>
          </w:p>
        </w:tc>
        <w:tc>
          <w:tcPr>
            <w:tcW w:w="1983" w:type="dxa"/>
            <w:noWrap/>
            <w:vAlign w:val="center"/>
          </w:tcPr>
          <w:p>
            <w:pPr>
              <w:jc w:val="center"/>
              <w:rPr>
                <w:rFonts w:eastAsia="仿宋"/>
                <w:kern w:val="0"/>
              </w:rPr>
            </w:pPr>
            <w:r>
              <w:rPr>
                <w:rFonts w:hint="eastAsia" w:ascii="Times New Roman" w:hAnsi="Times New Roman" w:eastAsia="仿宋"/>
                <w:szCs w:val="21"/>
                <w:highlight w:val="none"/>
                <w:lang w:val="en-US" w:eastAsia="zh-CN"/>
              </w:rPr>
              <w:t>XXX</w:t>
            </w:r>
          </w:p>
        </w:tc>
      </w:tr>
    </w:tbl>
    <w:p>
      <w:pPr>
        <w:pStyle w:val="95"/>
        <w:spacing w:line="520" w:lineRule="exact"/>
        <w:ind w:firstLine="560"/>
        <w:rPr>
          <w:b w:val="0"/>
          <w:bCs w:val="0"/>
          <w:sz w:val="28"/>
          <w:szCs w:val="28"/>
          <w:lang w:val="zh-CN"/>
        </w:rPr>
      </w:pPr>
      <w:r>
        <w:rPr>
          <w:rFonts w:hint="eastAsia"/>
          <w:b w:val="0"/>
          <w:bCs w:val="0"/>
          <w:sz w:val="28"/>
          <w:szCs w:val="28"/>
          <w:lang w:val="zh-CN"/>
        </w:rPr>
        <w:t>在发生事故时，各应急小组按各自职责分工开展应急救援工作。通过平时的演习、训练，完善事故应急预案。各应急小组主要职责如下：</w:t>
      </w:r>
    </w:p>
    <w:p>
      <w:pPr>
        <w:pStyle w:val="95"/>
        <w:spacing w:line="520" w:lineRule="exact"/>
        <w:ind w:firstLine="560"/>
        <w:rPr>
          <w:b w:val="0"/>
          <w:bCs w:val="0"/>
          <w:sz w:val="28"/>
          <w:szCs w:val="28"/>
          <w:lang w:val="zh-CN"/>
        </w:rPr>
      </w:pPr>
      <w:bookmarkStart w:id="51" w:name="_Toc202684388"/>
      <w:bookmarkStart w:id="52" w:name="_Toc236455262"/>
      <w:bookmarkStart w:id="53" w:name="_Toc212449741"/>
      <w:r>
        <w:rPr>
          <w:rFonts w:hint="eastAsia"/>
          <w:b w:val="0"/>
          <w:bCs w:val="0"/>
          <w:sz w:val="28"/>
          <w:szCs w:val="28"/>
          <w:lang w:val="zh-CN"/>
        </w:rPr>
        <w:t>（1）应急指挥</w:t>
      </w:r>
      <w:bookmarkEnd w:id="51"/>
      <w:bookmarkEnd w:id="52"/>
      <w:bookmarkEnd w:id="53"/>
    </w:p>
    <w:p>
      <w:pPr>
        <w:pStyle w:val="95"/>
        <w:spacing w:line="520" w:lineRule="exact"/>
        <w:ind w:firstLine="560"/>
        <w:rPr>
          <w:b w:val="0"/>
          <w:bCs w:val="0"/>
          <w:sz w:val="28"/>
          <w:szCs w:val="28"/>
          <w:lang w:val="zh-CN"/>
        </w:rPr>
      </w:pPr>
      <w:r>
        <w:rPr>
          <w:rFonts w:hint="eastAsia"/>
          <w:b w:val="0"/>
          <w:bCs w:val="0"/>
          <w:sz w:val="28"/>
          <w:szCs w:val="28"/>
          <w:lang w:val="zh-CN"/>
        </w:rPr>
        <w:t>应急指挥主要职责如下：</w:t>
      </w:r>
    </w:p>
    <w:p>
      <w:pPr>
        <w:pStyle w:val="95"/>
        <w:spacing w:line="520" w:lineRule="exact"/>
        <w:ind w:firstLine="560"/>
        <w:rPr>
          <w:b w:val="0"/>
          <w:bCs w:val="0"/>
          <w:sz w:val="28"/>
          <w:szCs w:val="28"/>
          <w:lang w:val="zh-CN"/>
        </w:rPr>
      </w:pPr>
      <w:r>
        <w:rPr>
          <w:rFonts w:hint="eastAsia"/>
          <w:b w:val="0"/>
          <w:bCs w:val="0"/>
          <w:sz w:val="28"/>
          <w:szCs w:val="28"/>
          <w:lang w:val="zh-CN"/>
        </w:rPr>
        <w:t>①贯彻执行国家、当地政府、上级有关部门关于环境保护的方针、政策及规定；</w:t>
      </w:r>
    </w:p>
    <w:p>
      <w:pPr>
        <w:pStyle w:val="95"/>
        <w:spacing w:line="520" w:lineRule="exact"/>
        <w:ind w:firstLine="560"/>
        <w:rPr>
          <w:b w:val="0"/>
          <w:bCs w:val="0"/>
          <w:sz w:val="28"/>
          <w:szCs w:val="28"/>
          <w:lang w:val="zh-CN"/>
        </w:rPr>
      </w:pPr>
      <w:r>
        <w:rPr>
          <w:b w:val="0"/>
          <w:bCs w:val="0"/>
          <w:sz w:val="28"/>
          <w:szCs w:val="28"/>
          <w:lang w:val="zh-CN"/>
        </w:rPr>
        <mc:AlternateContent>
          <mc:Choice Requires="wps">
            <w:drawing>
              <wp:anchor distT="0" distB="0" distL="114300" distR="114300" simplePos="0" relativeHeight="251659264" behindDoc="0" locked="0" layoutInCell="1" allowOverlap="1">
                <wp:simplePos x="0" y="0"/>
                <wp:positionH relativeFrom="column">
                  <wp:posOffset>-372110</wp:posOffset>
                </wp:positionH>
                <wp:positionV relativeFrom="paragraph">
                  <wp:posOffset>90170</wp:posOffset>
                </wp:positionV>
                <wp:extent cx="635" cy="0"/>
                <wp:effectExtent l="0" t="0" r="0" b="0"/>
                <wp:wrapNone/>
                <wp:docPr id="9" name="直接连接符 1"/>
                <wp:cNvGraphicFramePr/>
                <a:graphic xmlns:a="http://schemas.openxmlformats.org/drawingml/2006/main">
                  <a:graphicData uri="http://schemas.microsoft.com/office/word/2010/wordprocessingShape">
                    <wps:wsp>
                      <wps:cNvCnPr/>
                      <wps:spPr>
                        <a:xfrm>
                          <a:off x="0" y="0"/>
                          <a:ext cx="635" cy="0"/>
                        </a:xfrm>
                        <a:prstGeom prst="line">
                          <a:avLst/>
                        </a:prstGeom>
                        <a:ln w="9525" cap="flat" cmpd="sng">
                          <a:solidFill>
                            <a:srgbClr val="000000"/>
                          </a:solidFill>
                          <a:prstDash val="solid"/>
                          <a:headEnd type="none" w="med" len="med"/>
                          <a:tailEnd type="none" w="med" len="med"/>
                        </a:ln>
                        <a:effectLst/>
                      </wps:spPr>
                      <wps:bodyPr upright="1"/>
                    </wps:wsp>
                  </a:graphicData>
                </a:graphic>
              </wp:anchor>
            </w:drawing>
          </mc:Choice>
          <mc:Fallback>
            <w:pict>
              <v:line id="直接连接符 1" o:spid="_x0000_s1026" o:spt="20" style="position:absolute;left:0pt;margin-left:-29.3pt;margin-top:7.1pt;height:0pt;width:0.05pt;z-index:251659264;mso-width-relative:page;mso-height-relative:page;" filled="f" stroked="t" coordsize="21600,21600" o:gfxdata="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O3/+PtUAAAAJAQAADwAAAAAAAAABACAAAAAiAAAAZHJzL2Rvd25yZXYueG1sUEsBAhQA&#10;FAAAAAgAh07iQHgOOhf1AQAA7gMAAA4AAAAAAAAAAQAgAAAAJAEAAGRycy9lMm9Eb2MueG1sUEsF&#10;BgAAAAAGAAYAWQEAAIsFAAAAAA==&#10;">
                <v:fill on="f" focussize="0,0"/>
                <v:stroke color="#000000" joinstyle="round"/>
                <v:imagedata o:title=""/>
                <o:lock v:ext="edit" aspectratio="f"/>
              </v:line>
            </w:pict>
          </mc:Fallback>
        </mc:AlternateContent>
      </w:r>
      <w:r>
        <w:rPr>
          <w:rFonts w:hint="eastAsia"/>
          <w:b w:val="0"/>
          <w:bCs w:val="0"/>
          <w:sz w:val="28"/>
          <w:szCs w:val="28"/>
          <w:lang w:val="zh-CN"/>
        </w:rPr>
        <w:t>②第一时间接警，甄别是一般还是重大环境污染事故，并根据事故等级(分为三级)，下达启动应急预案指令。根据本公司实际情况，一般事故(如小型泄漏事故)在厂区内部处理；重大事故上报宜昌市生态环境局远安县分局；</w:t>
      </w:r>
    </w:p>
    <w:p>
      <w:pPr>
        <w:pStyle w:val="95"/>
        <w:spacing w:line="520" w:lineRule="exact"/>
        <w:ind w:firstLine="560"/>
        <w:rPr>
          <w:b w:val="0"/>
          <w:bCs w:val="0"/>
          <w:sz w:val="28"/>
          <w:szCs w:val="28"/>
          <w:lang w:val="zh-CN"/>
        </w:rPr>
      </w:pPr>
      <w:r>
        <w:rPr>
          <w:rFonts w:hint="eastAsia"/>
          <w:b w:val="0"/>
          <w:bCs w:val="0"/>
          <w:sz w:val="28"/>
          <w:szCs w:val="28"/>
          <w:lang w:val="zh-CN"/>
        </w:rPr>
        <w:t>③负责审订、批准环境事件的应急方案并组织现场实施；</w:t>
      </w:r>
    </w:p>
    <w:p>
      <w:pPr>
        <w:pStyle w:val="95"/>
        <w:spacing w:line="520" w:lineRule="exact"/>
        <w:ind w:firstLine="560"/>
        <w:rPr>
          <w:b w:val="0"/>
          <w:bCs w:val="0"/>
          <w:sz w:val="28"/>
          <w:szCs w:val="28"/>
          <w:lang w:val="zh-CN"/>
        </w:rPr>
      </w:pPr>
      <w:r>
        <w:rPr>
          <w:rFonts w:hint="eastAsia"/>
          <w:b w:val="0"/>
          <w:bCs w:val="0"/>
          <w:sz w:val="28"/>
          <w:szCs w:val="28"/>
          <w:lang w:val="zh-CN"/>
        </w:rPr>
        <w:t>④负责组织预案的审批与更新；负责组织外部评审；</w:t>
      </w:r>
    </w:p>
    <w:p>
      <w:pPr>
        <w:pStyle w:val="95"/>
        <w:spacing w:line="520" w:lineRule="exact"/>
        <w:ind w:firstLine="560"/>
        <w:rPr>
          <w:b w:val="0"/>
          <w:bCs w:val="0"/>
          <w:sz w:val="28"/>
          <w:szCs w:val="28"/>
          <w:lang w:val="zh-CN"/>
        </w:rPr>
      </w:pPr>
      <w:r>
        <w:rPr>
          <w:rFonts w:hint="eastAsia"/>
          <w:b w:val="0"/>
          <w:bCs w:val="0"/>
          <w:sz w:val="28"/>
          <w:szCs w:val="28"/>
          <w:lang w:val="zh-CN"/>
        </w:rPr>
        <w:t>⑤确定现场指挥人员；</w:t>
      </w:r>
    </w:p>
    <w:p>
      <w:pPr>
        <w:pStyle w:val="95"/>
        <w:spacing w:line="520" w:lineRule="exact"/>
        <w:ind w:firstLine="560"/>
        <w:rPr>
          <w:b w:val="0"/>
          <w:bCs w:val="0"/>
          <w:sz w:val="28"/>
          <w:szCs w:val="28"/>
          <w:lang w:val="zh-CN"/>
        </w:rPr>
      </w:pPr>
      <w:r>
        <w:rPr>
          <w:rFonts w:hint="eastAsia"/>
          <w:b w:val="0"/>
          <w:bCs w:val="0"/>
          <w:sz w:val="28"/>
          <w:szCs w:val="28"/>
          <w:lang w:val="zh-CN"/>
        </w:rPr>
        <w:t>⑥接受上级应急救援指挥机构的指令和调动，协助事件的处理；配合有关部门对环境进行修复、事件调查、经验教训总结；</w:t>
      </w:r>
    </w:p>
    <w:p>
      <w:pPr>
        <w:pStyle w:val="95"/>
        <w:spacing w:line="520" w:lineRule="exact"/>
        <w:ind w:firstLine="560"/>
        <w:rPr>
          <w:b w:val="0"/>
          <w:bCs w:val="0"/>
          <w:sz w:val="28"/>
          <w:szCs w:val="28"/>
          <w:lang w:val="zh-CN"/>
        </w:rPr>
      </w:pPr>
      <w:r>
        <w:rPr>
          <w:rFonts w:hint="eastAsia"/>
          <w:b w:val="0"/>
          <w:bCs w:val="0"/>
          <w:sz w:val="28"/>
          <w:szCs w:val="28"/>
          <w:lang w:val="zh-CN"/>
        </w:rPr>
        <w:t>⑦负责组织协调有关部门，动用应急队伍，做好事故处置、控制和善后工作，并及时向应急指挥中心报告，征得生态环境主管部门或应急部门援助，消除污染影响；</w:t>
      </w:r>
    </w:p>
    <w:p>
      <w:pPr>
        <w:pStyle w:val="95"/>
        <w:spacing w:line="520" w:lineRule="exact"/>
        <w:ind w:firstLine="560"/>
        <w:rPr>
          <w:b w:val="0"/>
          <w:bCs w:val="0"/>
          <w:sz w:val="28"/>
          <w:szCs w:val="28"/>
          <w:lang w:val="zh-CN"/>
        </w:rPr>
      </w:pPr>
      <w:r>
        <w:rPr>
          <w:rFonts w:hint="eastAsia"/>
          <w:b w:val="0"/>
          <w:bCs w:val="0"/>
          <w:sz w:val="28"/>
          <w:szCs w:val="28"/>
          <w:lang w:val="zh-CN"/>
        </w:rPr>
        <w:t>⑧落实宜昌市应急指挥中心的抢险指令。</w:t>
      </w:r>
    </w:p>
    <w:p>
      <w:pPr>
        <w:pStyle w:val="95"/>
        <w:spacing w:line="520" w:lineRule="exact"/>
        <w:ind w:firstLine="560"/>
        <w:rPr>
          <w:b w:val="0"/>
          <w:bCs w:val="0"/>
          <w:sz w:val="28"/>
          <w:szCs w:val="28"/>
          <w:lang w:val="zh-CN"/>
        </w:rPr>
      </w:pPr>
      <w:r>
        <w:rPr>
          <w:rFonts w:hint="eastAsia"/>
          <w:b w:val="0"/>
          <w:bCs w:val="0"/>
          <w:sz w:val="28"/>
          <w:szCs w:val="28"/>
          <w:lang w:val="zh-CN"/>
        </w:rPr>
        <w:t>应急指挥主要负责人：</w:t>
      </w:r>
      <w:r>
        <w:rPr>
          <w:rFonts w:hint="eastAsia" w:eastAsia="仿宋"/>
          <w:b w:val="0"/>
          <w:bCs w:val="0"/>
          <w:sz w:val="28"/>
          <w:szCs w:val="28"/>
          <w:lang w:val="zh-CN"/>
        </w:rPr>
        <w:t>况庆雷</w:t>
      </w:r>
      <w:r>
        <w:rPr>
          <w:rFonts w:eastAsia="仿宋"/>
          <w:b w:val="0"/>
          <w:bCs w:val="0"/>
          <w:sz w:val="28"/>
          <w:szCs w:val="28"/>
          <w:lang w:val="zh-CN"/>
        </w:rPr>
        <w:t>，电话：</w:t>
      </w:r>
      <w:r>
        <w:rPr>
          <w:rFonts w:hint="eastAsia" w:ascii="Times New Roman" w:hAnsi="Times New Roman" w:eastAsia="仿宋"/>
          <w:szCs w:val="21"/>
          <w:highlight w:val="none"/>
          <w:lang w:val="en-US" w:eastAsia="zh-CN"/>
        </w:rPr>
        <w:t>XXX</w:t>
      </w:r>
      <w:r>
        <w:rPr>
          <w:rFonts w:hint="eastAsia" w:eastAsia="仿宋"/>
          <w:b w:val="0"/>
          <w:bCs w:val="0"/>
          <w:sz w:val="28"/>
          <w:szCs w:val="28"/>
          <w:lang w:val="zh-CN"/>
        </w:rPr>
        <w:t>；孟涛，电话：</w:t>
      </w:r>
      <w:r>
        <w:rPr>
          <w:rFonts w:hint="eastAsia" w:ascii="Times New Roman" w:hAnsi="Times New Roman" w:eastAsia="仿宋"/>
          <w:szCs w:val="21"/>
          <w:highlight w:val="none"/>
          <w:lang w:val="en-US" w:eastAsia="zh-CN"/>
        </w:rPr>
        <w:t>XXX</w:t>
      </w:r>
      <w:r>
        <w:rPr>
          <w:rFonts w:eastAsia="仿宋"/>
          <w:b w:val="0"/>
          <w:bCs w:val="0"/>
          <w:sz w:val="28"/>
          <w:szCs w:val="28"/>
          <w:lang w:val="zh-CN"/>
        </w:rPr>
        <w:t>。</w:t>
      </w:r>
    </w:p>
    <w:p>
      <w:pPr>
        <w:pStyle w:val="95"/>
        <w:spacing w:line="520" w:lineRule="exact"/>
        <w:ind w:firstLine="560"/>
        <w:rPr>
          <w:b w:val="0"/>
          <w:bCs w:val="0"/>
          <w:sz w:val="28"/>
          <w:szCs w:val="28"/>
          <w:lang w:val="zh-CN"/>
        </w:rPr>
      </w:pPr>
      <w:r>
        <w:rPr>
          <w:rFonts w:hint="eastAsia"/>
          <w:b w:val="0"/>
          <w:bCs w:val="0"/>
          <w:sz w:val="28"/>
          <w:szCs w:val="28"/>
          <w:lang w:val="zh-CN"/>
        </w:rPr>
        <w:t>（2）应急抢险救援组</w:t>
      </w:r>
    </w:p>
    <w:p>
      <w:pPr>
        <w:pStyle w:val="95"/>
        <w:spacing w:line="520" w:lineRule="exact"/>
        <w:ind w:firstLine="560"/>
        <w:rPr>
          <w:b w:val="0"/>
          <w:bCs w:val="0"/>
          <w:sz w:val="28"/>
          <w:szCs w:val="28"/>
          <w:lang w:val="zh-CN"/>
        </w:rPr>
      </w:pPr>
      <w:r>
        <w:rPr>
          <w:rFonts w:hint="eastAsia"/>
          <w:b w:val="0"/>
          <w:bCs w:val="0"/>
          <w:sz w:val="28"/>
          <w:szCs w:val="28"/>
          <w:lang w:val="zh-CN"/>
        </w:rPr>
        <w:t>主要职责如下：</w:t>
      </w:r>
    </w:p>
    <w:p>
      <w:pPr>
        <w:pStyle w:val="95"/>
        <w:spacing w:line="520" w:lineRule="exact"/>
        <w:ind w:firstLine="560"/>
        <w:rPr>
          <w:b w:val="0"/>
          <w:bCs w:val="0"/>
          <w:sz w:val="28"/>
          <w:szCs w:val="28"/>
          <w:lang w:val="zh-CN"/>
        </w:rPr>
      </w:pPr>
      <w:r>
        <w:rPr>
          <w:rFonts w:hint="eastAsia"/>
          <w:b w:val="0"/>
          <w:bCs w:val="0"/>
          <w:sz w:val="28"/>
          <w:szCs w:val="28"/>
          <w:lang w:val="zh-CN"/>
        </w:rPr>
        <w:t>①接到通知后，正确配戴个人防护用品，迅速赶赴现场，根据应急指挥的指令，切断事故源，有效控制事故，以防扩大；</w:t>
      </w:r>
    </w:p>
    <w:p>
      <w:pPr>
        <w:pStyle w:val="95"/>
        <w:spacing w:line="520" w:lineRule="exact"/>
        <w:ind w:firstLine="560"/>
        <w:rPr>
          <w:b w:val="0"/>
          <w:bCs w:val="0"/>
          <w:sz w:val="28"/>
          <w:szCs w:val="28"/>
          <w:lang w:val="zh-CN"/>
        </w:rPr>
      </w:pPr>
      <w:r>
        <w:rPr>
          <w:rFonts w:hint="eastAsia"/>
          <w:b w:val="0"/>
          <w:bCs w:val="0"/>
          <w:sz w:val="28"/>
          <w:szCs w:val="28"/>
          <w:lang w:val="zh-CN"/>
        </w:rPr>
        <w:t>②在专业消防队伍来到后，按专业消防队伍的指挥员要求，配合进行工程抢险或火灾扑救；</w:t>
      </w:r>
    </w:p>
    <w:p>
      <w:pPr>
        <w:pStyle w:val="95"/>
        <w:spacing w:line="520" w:lineRule="exact"/>
        <w:ind w:firstLine="560"/>
        <w:rPr>
          <w:b w:val="0"/>
          <w:bCs w:val="0"/>
          <w:sz w:val="28"/>
          <w:szCs w:val="28"/>
          <w:lang w:val="zh-CN"/>
        </w:rPr>
      </w:pPr>
      <w:r>
        <w:rPr>
          <w:rFonts w:hint="eastAsia"/>
          <w:b w:val="0"/>
          <w:bCs w:val="0"/>
          <w:sz w:val="28"/>
          <w:szCs w:val="28"/>
          <w:lang w:val="zh-CN"/>
        </w:rPr>
        <w:t>③在事故发生时及时将有关应急装备、安全防护品、现场应急处置材料等应急物资运送到事故现场；</w:t>
      </w:r>
    </w:p>
    <w:p>
      <w:pPr>
        <w:pStyle w:val="95"/>
        <w:spacing w:line="520" w:lineRule="exact"/>
        <w:ind w:firstLine="560"/>
        <w:rPr>
          <w:b w:val="0"/>
          <w:bCs w:val="0"/>
          <w:sz w:val="28"/>
          <w:szCs w:val="28"/>
          <w:lang w:val="zh-CN"/>
        </w:rPr>
      </w:pPr>
      <w:r>
        <w:rPr>
          <w:rFonts w:hint="eastAsia"/>
          <w:b w:val="0"/>
          <w:bCs w:val="0"/>
          <w:sz w:val="28"/>
          <w:szCs w:val="28"/>
          <w:lang w:val="zh-CN"/>
        </w:rPr>
        <w:t>④火灾扑救后，尽快组织力量抢修公司供电、供水等重要设施，尽快恢复功能；</w:t>
      </w:r>
    </w:p>
    <w:p>
      <w:pPr>
        <w:pStyle w:val="95"/>
        <w:spacing w:line="520" w:lineRule="exact"/>
        <w:ind w:firstLine="560"/>
        <w:rPr>
          <w:b w:val="0"/>
          <w:bCs w:val="0"/>
          <w:sz w:val="28"/>
          <w:szCs w:val="28"/>
          <w:lang w:val="zh-CN"/>
        </w:rPr>
      </w:pPr>
      <w:r>
        <w:rPr>
          <w:rFonts w:hint="eastAsia"/>
          <w:b w:val="0"/>
          <w:bCs w:val="0"/>
          <w:sz w:val="28"/>
          <w:szCs w:val="28"/>
          <w:lang w:val="zh-CN"/>
        </w:rPr>
        <w:t>⑤启动应急监测计划，对污染空间水、气进行污染因子检测。</w:t>
      </w:r>
    </w:p>
    <w:p>
      <w:pPr>
        <w:pStyle w:val="95"/>
        <w:spacing w:line="520" w:lineRule="exact"/>
        <w:ind w:firstLine="560"/>
        <w:rPr>
          <w:b w:val="0"/>
          <w:bCs w:val="0"/>
          <w:sz w:val="28"/>
          <w:szCs w:val="28"/>
          <w:lang w:val="zh-CN"/>
        </w:rPr>
      </w:pPr>
      <w:r>
        <w:rPr>
          <w:rFonts w:hint="eastAsia"/>
          <w:b w:val="0"/>
          <w:bCs w:val="0"/>
          <w:sz w:val="28"/>
          <w:szCs w:val="28"/>
          <w:lang w:val="zh-CN"/>
        </w:rPr>
        <w:t>应急抢险救援负责人：</w:t>
      </w:r>
      <w:r>
        <w:rPr>
          <w:rFonts w:hint="eastAsia" w:eastAsia="仿宋"/>
          <w:b w:val="0"/>
          <w:bCs w:val="0"/>
          <w:sz w:val="28"/>
          <w:szCs w:val="28"/>
          <w:lang w:val="zh-CN"/>
        </w:rPr>
        <w:t>刘雪辉</w:t>
      </w:r>
      <w:r>
        <w:rPr>
          <w:rFonts w:eastAsia="仿宋"/>
          <w:b w:val="0"/>
          <w:bCs w:val="0"/>
          <w:sz w:val="28"/>
          <w:szCs w:val="28"/>
          <w:lang w:val="zh-CN"/>
        </w:rPr>
        <w:t>，电话：</w:t>
      </w:r>
      <w:r>
        <w:rPr>
          <w:rFonts w:hint="eastAsia" w:ascii="Times New Roman" w:hAnsi="Times New Roman" w:eastAsia="仿宋"/>
          <w:szCs w:val="21"/>
          <w:highlight w:val="none"/>
          <w:lang w:val="en-US" w:eastAsia="zh-CN"/>
        </w:rPr>
        <w:t>XXX</w:t>
      </w:r>
      <w:r>
        <w:rPr>
          <w:rFonts w:eastAsia="仿宋"/>
          <w:b w:val="0"/>
          <w:bCs w:val="0"/>
          <w:sz w:val="28"/>
          <w:szCs w:val="28"/>
          <w:lang w:val="zh-CN"/>
        </w:rPr>
        <w:t>。</w:t>
      </w:r>
    </w:p>
    <w:p>
      <w:pPr>
        <w:tabs>
          <w:tab w:val="left" w:pos="1320"/>
        </w:tabs>
        <w:snapToGrid w:val="0"/>
        <w:spacing w:line="520" w:lineRule="exact"/>
        <w:ind w:firstLine="576" w:firstLineChars="206"/>
        <w:rPr>
          <w:rFonts w:eastAsia="仿宋"/>
          <w:bCs/>
          <w:kern w:val="44"/>
          <w:sz w:val="28"/>
          <w:szCs w:val="28"/>
          <w:lang w:val="zh-CN"/>
        </w:rPr>
      </w:pPr>
      <w:bookmarkStart w:id="54" w:name="_Toc212449745"/>
      <w:bookmarkStart w:id="55" w:name="_Toc200359480"/>
      <w:bookmarkStart w:id="56" w:name="_Toc236455267"/>
      <w:r>
        <w:rPr>
          <w:rFonts w:eastAsia="仿宋"/>
          <w:bCs/>
          <w:kern w:val="44"/>
          <w:sz w:val="28"/>
          <w:szCs w:val="28"/>
          <w:lang w:val="zh-CN"/>
        </w:rPr>
        <w:t>（3）</w:t>
      </w:r>
      <w:bookmarkEnd w:id="54"/>
      <w:bookmarkEnd w:id="55"/>
      <w:bookmarkEnd w:id="56"/>
      <w:r>
        <w:rPr>
          <w:rFonts w:eastAsia="仿宋"/>
          <w:bCs/>
          <w:kern w:val="44"/>
          <w:sz w:val="28"/>
          <w:szCs w:val="28"/>
          <w:lang w:val="zh-CN"/>
        </w:rPr>
        <w:t>应急医疗救护组</w:t>
      </w:r>
    </w:p>
    <w:p>
      <w:pPr>
        <w:tabs>
          <w:tab w:val="left" w:pos="1320"/>
        </w:tabs>
        <w:snapToGrid w:val="0"/>
        <w:spacing w:line="520" w:lineRule="exact"/>
        <w:ind w:firstLine="576" w:firstLineChars="206"/>
        <w:rPr>
          <w:rFonts w:eastAsia="仿宋"/>
          <w:bCs/>
          <w:kern w:val="44"/>
          <w:sz w:val="28"/>
          <w:szCs w:val="28"/>
          <w:lang w:val="zh-CN"/>
        </w:rPr>
      </w:pPr>
      <w:r>
        <w:rPr>
          <w:rFonts w:eastAsia="仿宋"/>
          <w:bCs/>
          <w:kern w:val="44"/>
          <w:sz w:val="28"/>
          <w:szCs w:val="28"/>
          <w:lang w:val="zh-CN"/>
        </w:rPr>
        <w:t>主要职责如下：</w:t>
      </w:r>
    </w:p>
    <w:p>
      <w:pPr>
        <w:tabs>
          <w:tab w:val="left" w:pos="1320"/>
        </w:tabs>
        <w:snapToGrid w:val="0"/>
        <w:spacing w:line="520" w:lineRule="exact"/>
        <w:ind w:firstLine="576" w:firstLineChars="206"/>
        <w:rPr>
          <w:rFonts w:eastAsia="仿宋"/>
          <w:bCs/>
          <w:kern w:val="44"/>
          <w:sz w:val="28"/>
          <w:szCs w:val="28"/>
          <w:lang w:val="zh-CN"/>
        </w:rPr>
      </w:pPr>
      <w:r>
        <w:rPr>
          <w:rFonts w:eastAsia="仿宋"/>
          <w:bCs/>
          <w:kern w:val="44"/>
          <w:sz w:val="28"/>
          <w:szCs w:val="28"/>
          <w:lang w:val="zh-CN"/>
        </w:rPr>
        <w:t>①负责对事故现场转移出来的伤员，实施紧急救护工作，协助医疗救护部门将伤员护送到相关单位进行抢救和安置；</w:t>
      </w:r>
    </w:p>
    <w:p>
      <w:pPr>
        <w:tabs>
          <w:tab w:val="left" w:pos="1320"/>
        </w:tabs>
        <w:snapToGrid w:val="0"/>
        <w:spacing w:line="520" w:lineRule="exact"/>
        <w:ind w:firstLine="576" w:firstLineChars="206"/>
        <w:rPr>
          <w:rFonts w:eastAsia="仿宋"/>
          <w:bCs/>
          <w:kern w:val="44"/>
          <w:sz w:val="28"/>
          <w:szCs w:val="28"/>
          <w:lang w:val="zh-CN"/>
        </w:rPr>
      </w:pPr>
      <w:r>
        <w:rPr>
          <w:rFonts w:eastAsia="仿宋"/>
          <w:bCs/>
          <w:kern w:val="44"/>
          <w:sz w:val="28"/>
          <w:szCs w:val="28"/>
          <w:lang w:val="zh-CN"/>
        </w:rPr>
        <w:t>②在事故发生后，迅速派出人员进行抢险救灾；负责在专业消防队伍来到之前，进行火灾预防和扑救，尽可能减少损失；</w:t>
      </w:r>
    </w:p>
    <w:p>
      <w:pPr>
        <w:tabs>
          <w:tab w:val="left" w:pos="1320"/>
        </w:tabs>
        <w:snapToGrid w:val="0"/>
        <w:spacing w:line="520" w:lineRule="exact"/>
        <w:ind w:firstLine="576" w:firstLineChars="206"/>
        <w:rPr>
          <w:rFonts w:eastAsia="仿宋"/>
          <w:bCs/>
          <w:kern w:val="44"/>
          <w:sz w:val="28"/>
          <w:szCs w:val="28"/>
          <w:lang w:val="zh-CN"/>
        </w:rPr>
      </w:pPr>
      <w:r>
        <w:rPr>
          <w:rFonts w:eastAsia="仿宋"/>
          <w:bCs/>
          <w:kern w:val="44"/>
          <w:sz w:val="28"/>
          <w:szCs w:val="28"/>
          <w:lang w:val="zh-CN"/>
        </w:rPr>
        <w:t>③将受伤者转移到安全的地方，抢救生命第一。</w:t>
      </w:r>
    </w:p>
    <w:p>
      <w:pPr>
        <w:tabs>
          <w:tab w:val="left" w:pos="1320"/>
        </w:tabs>
        <w:snapToGrid w:val="0"/>
        <w:spacing w:line="520" w:lineRule="exact"/>
        <w:ind w:firstLine="576" w:firstLineChars="206"/>
        <w:rPr>
          <w:rFonts w:eastAsia="仿宋"/>
          <w:bCs/>
          <w:kern w:val="44"/>
          <w:sz w:val="28"/>
          <w:szCs w:val="28"/>
          <w:lang w:val="zh-CN"/>
        </w:rPr>
      </w:pPr>
      <w:r>
        <w:rPr>
          <w:rFonts w:eastAsia="仿宋"/>
          <w:bCs/>
          <w:kern w:val="44"/>
          <w:sz w:val="28"/>
          <w:szCs w:val="28"/>
          <w:lang w:val="zh-CN"/>
        </w:rPr>
        <w:t>应急疏散隔离和安全保卫队负责人：</w:t>
      </w:r>
      <w:r>
        <w:rPr>
          <w:rFonts w:hint="eastAsia" w:eastAsia="仿宋"/>
          <w:bCs/>
          <w:kern w:val="44"/>
          <w:sz w:val="28"/>
          <w:szCs w:val="28"/>
          <w:lang w:val="zh-CN"/>
        </w:rPr>
        <w:t>赵先玉</w:t>
      </w:r>
      <w:r>
        <w:rPr>
          <w:rFonts w:eastAsia="仿宋"/>
          <w:bCs/>
          <w:kern w:val="44"/>
          <w:sz w:val="28"/>
          <w:szCs w:val="28"/>
          <w:lang w:val="zh-CN"/>
        </w:rPr>
        <w:t>，电话：</w:t>
      </w:r>
      <w:r>
        <w:rPr>
          <w:rFonts w:hint="eastAsia" w:ascii="Times New Roman" w:hAnsi="Times New Roman" w:eastAsia="仿宋"/>
          <w:szCs w:val="21"/>
          <w:highlight w:val="none"/>
          <w:lang w:val="en-US" w:eastAsia="zh-CN"/>
        </w:rPr>
        <w:t>XXX</w:t>
      </w:r>
      <w:r>
        <w:rPr>
          <w:rFonts w:eastAsia="仿宋"/>
          <w:bCs/>
          <w:kern w:val="44"/>
          <w:sz w:val="28"/>
          <w:szCs w:val="28"/>
          <w:lang w:val="zh-CN"/>
        </w:rPr>
        <w:t>。</w:t>
      </w:r>
    </w:p>
    <w:p>
      <w:pPr>
        <w:tabs>
          <w:tab w:val="left" w:pos="1320"/>
        </w:tabs>
        <w:snapToGrid w:val="0"/>
        <w:spacing w:line="520" w:lineRule="exact"/>
        <w:ind w:firstLine="576" w:firstLineChars="206"/>
        <w:rPr>
          <w:rFonts w:eastAsia="仿宋"/>
          <w:bCs/>
          <w:kern w:val="44"/>
          <w:sz w:val="28"/>
          <w:szCs w:val="28"/>
          <w:lang w:val="zh-CN"/>
        </w:rPr>
      </w:pPr>
      <w:r>
        <w:rPr>
          <w:rFonts w:eastAsia="仿宋"/>
          <w:bCs/>
          <w:kern w:val="44"/>
          <w:sz w:val="28"/>
          <w:szCs w:val="28"/>
          <w:lang w:val="zh-CN"/>
        </w:rPr>
        <w:t>（</w:t>
      </w:r>
      <w:r>
        <w:rPr>
          <w:rFonts w:hint="eastAsia" w:eastAsia="仿宋"/>
          <w:bCs/>
          <w:kern w:val="44"/>
          <w:sz w:val="28"/>
          <w:szCs w:val="28"/>
        </w:rPr>
        <w:t>4</w:t>
      </w:r>
      <w:r>
        <w:rPr>
          <w:rFonts w:eastAsia="仿宋"/>
          <w:bCs/>
          <w:kern w:val="44"/>
          <w:sz w:val="28"/>
          <w:szCs w:val="28"/>
          <w:lang w:val="zh-CN"/>
        </w:rPr>
        <w:t>）应急善后处理组</w:t>
      </w:r>
    </w:p>
    <w:p>
      <w:pPr>
        <w:tabs>
          <w:tab w:val="left" w:pos="1320"/>
        </w:tabs>
        <w:snapToGrid w:val="0"/>
        <w:spacing w:line="520" w:lineRule="exact"/>
        <w:ind w:firstLine="576" w:firstLineChars="206"/>
        <w:rPr>
          <w:rFonts w:eastAsia="仿宋"/>
          <w:bCs/>
          <w:kern w:val="44"/>
          <w:sz w:val="28"/>
          <w:szCs w:val="28"/>
          <w:lang w:val="zh-CN"/>
        </w:rPr>
      </w:pPr>
      <w:r>
        <w:rPr>
          <w:rFonts w:eastAsia="仿宋"/>
          <w:bCs/>
          <w:kern w:val="44"/>
          <w:sz w:val="28"/>
          <w:szCs w:val="28"/>
          <w:lang w:val="zh-CN"/>
        </w:rPr>
        <w:t>主要职责如下：</w:t>
      </w:r>
    </w:p>
    <w:p>
      <w:pPr>
        <w:tabs>
          <w:tab w:val="left" w:pos="1320"/>
        </w:tabs>
        <w:snapToGrid w:val="0"/>
        <w:spacing w:line="520" w:lineRule="exact"/>
        <w:ind w:firstLine="576" w:firstLineChars="206"/>
        <w:rPr>
          <w:rFonts w:eastAsia="仿宋"/>
          <w:bCs/>
          <w:kern w:val="44"/>
          <w:sz w:val="28"/>
          <w:szCs w:val="28"/>
          <w:lang w:val="zh-CN"/>
        </w:rPr>
      </w:pPr>
      <w:r>
        <w:rPr>
          <w:rFonts w:eastAsia="仿宋"/>
          <w:bCs/>
          <w:kern w:val="44"/>
          <w:sz w:val="28"/>
          <w:szCs w:val="28"/>
          <w:lang w:val="zh-CN"/>
        </w:rPr>
        <w:t>在事故发生时，按总指挥指示，开设现场指挥部；提供工具、防护用品等应急器材协助救援，提供突发情况下救援人员的生活保障；根据事故程度及影响范围，及时向周边单位联系，及时调用救援设备、器材等；妥善做好伤亡人员的善后处理工作</w:t>
      </w:r>
      <w:r>
        <w:rPr>
          <w:rFonts w:hint="eastAsia" w:eastAsia="仿宋"/>
          <w:bCs/>
          <w:kern w:val="44"/>
          <w:sz w:val="28"/>
          <w:szCs w:val="28"/>
          <w:lang w:val="zh-CN"/>
        </w:rPr>
        <w:t>，</w:t>
      </w:r>
      <w:r>
        <w:rPr>
          <w:rFonts w:eastAsia="仿宋"/>
          <w:bCs/>
          <w:kern w:val="44"/>
          <w:sz w:val="28"/>
          <w:szCs w:val="28"/>
          <w:lang w:val="zh-CN"/>
        </w:rPr>
        <w:t>负责根据人员伤亡或失踪情况，负责联络和接待其家属，处理有关赔偿、抚恤等事宜。</w:t>
      </w:r>
    </w:p>
    <w:p>
      <w:pPr>
        <w:tabs>
          <w:tab w:val="left" w:pos="1320"/>
        </w:tabs>
        <w:snapToGrid w:val="0"/>
        <w:spacing w:line="520" w:lineRule="exact"/>
        <w:ind w:firstLine="576" w:firstLineChars="206"/>
        <w:rPr>
          <w:rFonts w:eastAsia="仿宋"/>
          <w:bCs/>
          <w:kern w:val="44"/>
          <w:sz w:val="28"/>
          <w:szCs w:val="28"/>
          <w:lang w:val="zh-CN"/>
        </w:rPr>
      </w:pPr>
      <w:r>
        <w:rPr>
          <w:rFonts w:eastAsia="仿宋"/>
          <w:bCs/>
          <w:kern w:val="44"/>
          <w:sz w:val="28"/>
          <w:szCs w:val="28"/>
          <w:lang w:val="zh-CN"/>
        </w:rPr>
        <w:t>应急善后处理队负责人：</w:t>
      </w:r>
      <w:r>
        <w:rPr>
          <w:rFonts w:hint="eastAsia" w:eastAsia="仿宋"/>
          <w:bCs/>
          <w:kern w:val="44"/>
          <w:sz w:val="28"/>
          <w:szCs w:val="28"/>
          <w:lang w:val="zh-CN"/>
        </w:rPr>
        <w:t>李红</w:t>
      </w:r>
      <w:r>
        <w:rPr>
          <w:rFonts w:eastAsia="仿宋"/>
          <w:bCs/>
          <w:kern w:val="44"/>
          <w:sz w:val="28"/>
          <w:szCs w:val="28"/>
          <w:lang w:val="zh-CN"/>
        </w:rPr>
        <w:t>，电话：</w:t>
      </w:r>
      <w:r>
        <w:rPr>
          <w:rFonts w:hint="eastAsia" w:ascii="Times New Roman" w:hAnsi="Times New Roman" w:eastAsia="仿宋"/>
          <w:szCs w:val="21"/>
          <w:highlight w:val="none"/>
          <w:lang w:val="en-US" w:eastAsia="zh-CN"/>
        </w:rPr>
        <w:t>XXX</w:t>
      </w:r>
      <w:r>
        <w:rPr>
          <w:rFonts w:eastAsia="仿宋"/>
          <w:bCs/>
          <w:kern w:val="44"/>
          <w:sz w:val="28"/>
          <w:szCs w:val="28"/>
          <w:lang w:val="zh-CN"/>
        </w:rPr>
        <w:t>。</w:t>
      </w:r>
    </w:p>
    <w:p>
      <w:pPr>
        <w:tabs>
          <w:tab w:val="left" w:pos="1320"/>
        </w:tabs>
        <w:snapToGrid w:val="0"/>
        <w:spacing w:line="520" w:lineRule="exact"/>
        <w:ind w:firstLine="576" w:firstLineChars="206"/>
        <w:rPr>
          <w:rFonts w:eastAsia="仿宋"/>
          <w:bCs/>
          <w:kern w:val="44"/>
          <w:sz w:val="28"/>
          <w:szCs w:val="28"/>
          <w:lang w:val="zh-CN"/>
        </w:rPr>
      </w:pPr>
      <w:r>
        <w:rPr>
          <w:rFonts w:eastAsia="仿宋"/>
          <w:bCs/>
          <w:kern w:val="44"/>
          <w:sz w:val="28"/>
          <w:szCs w:val="28"/>
          <w:lang w:val="zh-CN"/>
        </w:rPr>
        <w:t>（</w:t>
      </w:r>
      <w:r>
        <w:rPr>
          <w:rFonts w:hint="eastAsia" w:eastAsia="仿宋"/>
          <w:bCs/>
          <w:kern w:val="44"/>
          <w:sz w:val="28"/>
          <w:szCs w:val="28"/>
        </w:rPr>
        <w:t>5</w:t>
      </w:r>
      <w:r>
        <w:rPr>
          <w:rFonts w:eastAsia="仿宋"/>
          <w:bCs/>
          <w:kern w:val="44"/>
          <w:sz w:val="28"/>
          <w:szCs w:val="28"/>
          <w:lang w:val="zh-CN"/>
        </w:rPr>
        <w:t>）</w:t>
      </w:r>
      <w:r>
        <w:rPr>
          <w:rFonts w:hint="eastAsia" w:eastAsia="仿宋"/>
          <w:bCs/>
          <w:kern w:val="44"/>
          <w:sz w:val="28"/>
          <w:szCs w:val="28"/>
          <w:lang w:val="zh-CN"/>
        </w:rPr>
        <w:t>污染控制</w:t>
      </w:r>
      <w:r>
        <w:rPr>
          <w:rFonts w:eastAsia="仿宋"/>
          <w:bCs/>
          <w:kern w:val="44"/>
          <w:sz w:val="28"/>
          <w:szCs w:val="28"/>
          <w:lang w:val="zh-CN"/>
        </w:rPr>
        <w:t>组</w:t>
      </w:r>
    </w:p>
    <w:p>
      <w:pPr>
        <w:tabs>
          <w:tab w:val="left" w:pos="1320"/>
        </w:tabs>
        <w:snapToGrid w:val="0"/>
        <w:spacing w:line="520" w:lineRule="exact"/>
        <w:ind w:firstLine="576" w:firstLineChars="206"/>
        <w:rPr>
          <w:rFonts w:eastAsia="仿宋"/>
          <w:bCs/>
          <w:kern w:val="44"/>
          <w:sz w:val="28"/>
          <w:szCs w:val="28"/>
          <w:lang w:val="zh-CN"/>
        </w:rPr>
      </w:pPr>
      <w:r>
        <w:rPr>
          <w:rFonts w:eastAsia="仿宋"/>
          <w:bCs/>
          <w:kern w:val="44"/>
          <w:sz w:val="28"/>
          <w:szCs w:val="28"/>
          <w:lang w:val="zh-CN"/>
        </w:rPr>
        <w:t>主要职责如下：</w:t>
      </w:r>
    </w:p>
    <w:p>
      <w:pPr>
        <w:tabs>
          <w:tab w:val="left" w:pos="1320"/>
        </w:tabs>
        <w:snapToGrid w:val="0"/>
        <w:spacing w:line="520" w:lineRule="exact"/>
        <w:ind w:firstLine="576" w:firstLineChars="206"/>
        <w:rPr>
          <w:rFonts w:eastAsia="仿宋"/>
          <w:bCs/>
          <w:kern w:val="44"/>
          <w:sz w:val="28"/>
          <w:szCs w:val="28"/>
          <w:lang w:val="zh-CN"/>
        </w:rPr>
      </w:pPr>
      <w:r>
        <w:rPr>
          <w:rFonts w:eastAsia="仿宋"/>
          <w:bCs/>
          <w:kern w:val="44"/>
          <w:sz w:val="28"/>
          <w:szCs w:val="28"/>
          <w:lang w:val="zh-CN"/>
        </w:rPr>
        <w:t>配合事故区域大气环境监测、提供警戒范围依据；负责将泄漏或处置产生的污水引流至废水处理系统或事故池；负责与外部环境监测机构联系协助对公司周边和事故区域大气环境质量进行监测；负责关闭雨排阀门，防止事故水进入外部环境。</w:t>
      </w:r>
    </w:p>
    <w:p>
      <w:pPr>
        <w:tabs>
          <w:tab w:val="left" w:pos="1320"/>
        </w:tabs>
        <w:snapToGrid w:val="0"/>
        <w:spacing w:line="520" w:lineRule="exact"/>
        <w:ind w:firstLine="576" w:firstLineChars="206"/>
        <w:rPr>
          <w:rFonts w:eastAsia="仿宋"/>
          <w:bCs/>
          <w:kern w:val="44"/>
          <w:sz w:val="28"/>
          <w:szCs w:val="28"/>
          <w:lang w:val="zh-CN"/>
        </w:rPr>
      </w:pPr>
      <w:r>
        <w:rPr>
          <w:rFonts w:hint="eastAsia" w:eastAsia="仿宋"/>
          <w:bCs/>
          <w:kern w:val="44"/>
          <w:sz w:val="28"/>
          <w:szCs w:val="28"/>
          <w:lang w:val="zh-CN"/>
        </w:rPr>
        <w:t>污染控制</w:t>
      </w:r>
      <w:r>
        <w:rPr>
          <w:rFonts w:eastAsia="仿宋"/>
          <w:bCs/>
          <w:kern w:val="44"/>
          <w:sz w:val="28"/>
          <w:szCs w:val="28"/>
          <w:lang w:val="zh-CN"/>
        </w:rPr>
        <w:t>组负责人：</w:t>
      </w:r>
      <w:r>
        <w:rPr>
          <w:rFonts w:hint="eastAsia" w:eastAsia="仿宋"/>
          <w:bCs/>
          <w:kern w:val="44"/>
          <w:sz w:val="28"/>
          <w:szCs w:val="28"/>
          <w:lang w:val="zh-CN"/>
        </w:rPr>
        <w:t>赵新国</w:t>
      </w:r>
      <w:r>
        <w:rPr>
          <w:rFonts w:eastAsia="仿宋"/>
          <w:bCs/>
          <w:kern w:val="44"/>
          <w:sz w:val="28"/>
          <w:szCs w:val="28"/>
          <w:lang w:val="zh-CN"/>
        </w:rPr>
        <w:t>，电话：</w:t>
      </w:r>
      <w:r>
        <w:rPr>
          <w:rFonts w:hint="eastAsia" w:ascii="Times New Roman" w:hAnsi="Times New Roman" w:eastAsia="仿宋"/>
          <w:szCs w:val="21"/>
          <w:highlight w:val="none"/>
          <w:lang w:val="en-US" w:eastAsia="zh-CN"/>
        </w:rPr>
        <w:t>XXX</w:t>
      </w:r>
      <w:r>
        <w:rPr>
          <w:rFonts w:eastAsia="仿宋"/>
          <w:bCs/>
          <w:kern w:val="44"/>
          <w:sz w:val="28"/>
          <w:szCs w:val="28"/>
          <w:lang w:val="zh-CN"/>
        </w:rPr>
        <w:t>。</w:t>
      </w:r>
    </w:p>
    <w:p>
      <w:pPr>
        <w:tabs>
          <w:tab w:val="left" w:pos="1320"/>
        </w:tabs>
        <w:snapToGrid w:val="0"/>
        <w:spacing w:line="520" w:lineRule="exact"/>
        <w:ind w:firstLine="576" w:firstLineChars="206"/>
        <w:rPr>
          <w:rFonts w:eastAsia="仿宋"/>
          <w:bCs/>
          <w:kern w:val="44"/>
          <w:sz w:val="28"/>
          <w:szCs w:val="28"/>
          <w:lang w:val="zh-CN"/>
        </w:rPr>
      </w:pPr>
      <w:r>
        <w:rPr>
          <w:rFonts w:eastAsia="仿宋"/>
          <w:bCs/>
          <w:kern w:val="44"/>
          <w:sz w:val="28"/>
          <w:szCs w:val="28"/>
          <w:lang w:val="zh-CN"/>
        </w:rPr>
        <w:t>（</w:t>
      </w:r>
      <w:r>
        <w:rPr>
          <w:rFonts w:hint="eastAsia" w:eastAsia="仿宋"/>
          <w:bCs/>
          <w:kern w:val="44"/>
          <w:sz w:val="28"/>
          <w:szCs w:val="28"/>
        </w:rPr>
        <w:t>6</w:t>
      </w:r>
      <w:r>
        <w:rPr>
          <w:rFonts w:eastAsia="仿宋"/>
          <w:bCs/>
          <w:kern w:val="44"/>
          <w:sz w:val="28"/>
          <w:szCs w:val="28"/>
          <w:lang w:val="zh-CN"/>
        </w:rPr>
        <w:t>）</w:t>
      </w:r>
      <w:r>
        <w:rPr>
          <w:rFonts w:hint="eastAsia" w:eastAsia="仿宋"/>
          <w:bCs/>
          <w:kern w:val="44"/>
          <w:sz w:val="28"/>
          <w:szCs w:val="28"/>
          <w:lang w:val="zh-CN"/>
        </w:rPr>
        <w:t>警戒疏散</w:t>
      </w:r>
      <w:r>
        <w:rPr>
          <w:rFonts w:eastAsia="仿宋"/>
          <w:bCs/>
          <w:kern w:val="44"/>
          <w:sz w:val="28"/>
          <w:szCs w:val="28"/>
          <w:lang w:val="zh-CN"/>
        </w:rPr>
        <w:t>组</w:t>
      </w:r>
    </w:p>
    <w:p>
      <w:pPr>
        <w:tabs>
          <w:tab w:val="left" w:pos="1320"/>
        </w:tabs>
        <w:snapToGrid w:val="0"/>
        <w:spacing w:line="520" w:lineRule="exact"/>
        <w:ind w:firstLine="576" w:firstLineChars="206"/>
        <w:rPr>
          <w:rFonts w:eastAsia="仿宋"/>
          <w:bCs/>
          <w:kern w:val="44"/>
          <w:sz w:val="28"/>
          <w:szCs w:val="28"/>
          <w:lang w:val="zh-CN"/>
        </w:rPr>
      </w:pPr>
      <w:r>
        <w:rPr>
          <w:rFonts w:eastAsia="仿宋"/>
          <w:bCs/>
          <w:kern w:val="44"/>
          <w:sz w:val="28"/>
          <w:szCs w:val="28"/>
          <w:lang w:val="zh-CN"/>
        </w:rPr>
        <w:t>主要职责如下：</w:t>
      </w:r>
    </w:p>
    <w:p>
      <w:pPr>
        <w:tabs>
          <w:tab w:val="left" w:pos="1320"/>
        </w:tabs>
        <w:snapToGrid w:val="0"/>
        <w:spacing w:line="520" w:lineRule="exact"/>
        <w:ind w:firstLine="576" w:firstLineChars="206"/>
        <w:rPr>
          <w:rFonts w:eastAsia="仿宋"/>
          <w:bCs/>
          <w:kern w:val="44"/>
          <w:sz w:val="28"/>
          <w:szCs w:val="28"/>
          <w:lang w:val="zh-CN"/>
        </w:rPr>
      </w:pPr>
      <w:r>
        <w:rPr>
          <w:rFonts w:eastAsia="仿宋"/>
          <w:bCs/>
          <w:kern w:val="44"/>
          <w:sz w:val="28"/>
          <w:szCs w:val="28"/>
          <w:lang w:val="zh-CN"/>
        </w:rPr>
        <w:t>指挥职工防护和疏散，担任事故应急救援时的治安和主要目标的保护，要害部门的警戒，封锁进入污染区的道路，维护公司内的秩序。</w:t>
      </w:r>
    </w:p>
    <w:p>
      <w:pPr>
        <w:tabs>
          <w:tab w:val="left" w:pos="1320"/>
        </w:tabs>
        <w:snapToGrid w:val="0"/>
        <w:spacing w:line="520" w:lineRule="exact"/>
        <w:ind w:firstLine="576" w:firstLineChars="206"/>
        <w:rPr>
          <w:rFonts w:eastAsia="仿宋"/>
          <w:bCs/>
          <w:kern w:val="44"/>
          <w:sz w:val="28"/>
          <w:szCs w:val="28"/>
          <w:lang w:val="zh-CN"/>
        </w:rPr>
      </w:pPr>
      <w:r>
        <w:rPr>
          <w:rFonts w:hint="eastAsia" w:eastAsia="仿宋"/>
          <w:bCs/>
          <w:kern w:val="44"/>
          <w:sz w:val="28"/>
          <w:szCs w:val="28"/>
          <w:lang w:val="zh-CN"/>
        </w:rPr>
        <w:t>警戒疏散组</w:t>
      </w:r>
      <w:r>
        <w:rPr>
          <w:rFonts w:eastAsia="仿宋"/>
          <w:bCs/>
          <w:kern w:val="44"/>
          <w:sz w:val="28"/>
          <w:szCs w:val="28"/>
          <w:lang w:val="zh-CN"/>
        </w:rPr>
        <w:t>负责人：</w:t>
      </w:r>
      <w:r>
        <w:rPr>
          <w:rFonts w:hint="eastAsia" w:eastAsia="仿宋"/>
          <w:bCs/>
          <w:kern w:val="44"/>
          <w:sz w:val="28"/>
          <w:szCs w:val="28"/>
          <w:lang w:val="zh-CN"/>
        </w:rPr>
        <w:t>刘磊</w:t>
      </w:r>
      <w:r>
        <w:rPr>
          <w:rFonts w:eastAsia="仿宋"/>
          <w:bCs/>
          <w:kern w:val="44"/>
          <w:sz w:val="28"/>
          <w:szCs w:val="28"/>
          <w:lang w:val="zh-CN"/>
        </w:rPr>
        <w:t>，电话：</w:t>
      </w:r>
      <w:r>
        <w:rPr>
          <w:rFonts w:hint="eastAsia" w:ascii="Times New Roman" w:hAnsi="Times New Roman" w:eastAsia="仿宋"/>
          <w:szCs w:val="21"/>
          <w:highlight w:val="none"/>
          <w:lang w:val="en-US" w:eastAsia="zh-CN"/>
        </w:rPr>
        <w:t>XXX</w:t>
      </w:r>
      <w:r>
        <w:rPr>
          <w:rFonts w:eastAsia="仿宋"/>
          <w:bCs/>
          <w:kern w:val="44"/>
          <w:sz w:val="28"/>
          <w:szCs w:val="28"/>
          <w:lang w:val="zh-CN"/>
        </w:rPr>
        <w:t>。</w:t>
      </w:r>
    </w:p>
    <w:p>
      <w:pPr>
        <w:pStyle w:val="6"/>
        <w:spacing w:before="0" w:beforeAutospacing="0" w:line="520" w:lineRule="exact"/>
        <w:ind w:left="0" w:firstLine="0"/>
        <w:rPr>
          <w:lang w:val="zh-CN"/>
        </w:rPr>
      </w:pPr>
      <w:bookmarkStart w:id="57" w:name="_Toc20275"/>
      <w:r>
        <w:rPr>
          <w:rFonts w:hint="eastAsia"/>
          <w:lang w:val="zh-CN"/>
        </w:rPr>
        <w:t>应急能力评估</w:t>
      </w:r>
      <w:bookmarkEnd w:id="57"/>
    </w:p>
    <w:p>
      <w:pPr>
        <w:pStyle w:val="95"/>
        <w:spacing w:line="520" w:lineRule="exact"/>
        <w:ind w:firstLine="560"/>
        <w:rPr>
          <w:b w:val="0"/>
          <w:bCs w:val="0"/>
          <w:sz w:val="28"/>
          <w:szCs w:val="28"/>
          <w:lang w:val="zh-CN"/>
        </w:rPr>
      </w:pPr>
      <w:r>
        <w:rPr>
          <w:rFonts w:hint="eastAsia"/>
          <w:b w:val="0"/>
          <w:bCs w:val="0"/>
          <w:sz w:val="28"/>
          <w:szCs w:val="28"/>
          <w:lang w:val="zh-CN"/>
        </w:rPr>
        <w:t>本公司建立了应急指挥部和抢险救援队、物资保障和运输队、疏散隔离和安全保卫队、医疗救护队、环境监测队、善后处理队等。加强突发环境事件应急队伍建设，加强应急救援队伍的业务培训和应急演练。重点培训建立一支常备不懈、熟悉环境应急知识、充分掌握各类突发环境事件处置措施的应急队伍，保证在突发环境事件发生后，能迅速参与并完成抢险、医疗救援、安全保卫、信息传输等现场处置工作。内部各部门建立联动协调机制，提高准备水平，提高其应对突发环境事件的素质和能力。</w:t>
      </w:r>
    </w:p>
    <w:p>
      <w:pPr>
        <w:pStyle w:val="95"/>
        <w:spacing w:line="520" w:lineRule="exact"/>
        <w:ind w:firstLine="560"/>
        <w:rPr>
          <w:b w:val="0"/>
          <w:bCs w:val="0"/>
          <w:sz w:val="28"/>
          <w:szCs w:val="28"/>
          <w:lang w:val="zh-CN"/>
        </w:rPr>
      </w:pPr>
      <w:r>
        <w:rPr>
          <w:rFonts w:hint="eastAsia"/>
          <w:b w:val="0"/>
          <w:bCs w:val="0"/>
          <w:sz w:val="28"/>
          <w:szCs w:val="28"/>
          <w:lang w:val="zh-CN"/>
        </w:rPr>
        <w:t>根据现场调查及对单位可能突发环境事件分析，厂内虽然建立了应急组织机构，但不足以满足厂内突发环境事件处置需求。</w:t>
      </w:r>
    </w:p>
    <w:p>
      <w:pPr>
        <w:pStyle w:val="95"/>
        <w:spacing w:line="520" w:lineRule="exact"/>
        <w:ind w:firstLine="560"/>
        <w:rPr>
          <w:b w:val="0"/>
          <w:bCs w:val="0"/>
          <w:sz w:val="28"/>
          <w:szCs w:val="28"/>
          <w:lang w:val="zh-CN"/>
        </w:rPr>
      </w:pPr>
      <w:r>
        <w:rPr>
          <w:rFonts w:hint="eastAsia"/>
          <w:b w:val="0"/>
          <w:bCs w:val="0"/>
          <w:sz w:val="28"/>
          <w:szCs w:val="28"/>
          <w:lang w:val="zh-CN"/>
        </w:rPr>
        <w:t>在厂内发生火灾事件时，需要寻求远安县消防大队的人力、消防器材、设备等的消防协助。</w:t>
      </w:r>
    </w:p>
    <w:p>
      <w:pPr>
        <w:pStyle w:val="95"/>
        <w:spacing w:line="520" w:lineRule="exact"/>
        <w:ind w:firstLine="560"/>
        <w:rPr>
          <w:b w:val="0"/>
          <w:bCs w:val="0"/>
          <w:sz w:val="28"/>
          <w:szCs w:val="28"/>
          <w:lang w:val="zh-CN"/>
        </w:rPr>
      </w:pPr>
      <w:r>
        <w:rPr>
          <w:rFonts w:hint="eastAsia"/>
          <w:b w:val="0"/>
          <w:bCs w:val="0"/>
          <w:sz w:val="28"/>
          <w:szCs w:val="28"/>
          <w:lang w:val="zh-CN"/>
        </w:rPr>
        <w:t>厂内发生液氯、黄磷等泄漏或有毒有害</w:t>
      </w:r>
      <w:r>
        <w:rPr>
          <w:rFonts w:hint="eastAsia"/>
          <w:b w:val="0"/>
          <w:bCs w:val="0"/>
          <w:sz w:val="28"/>
          <w:szCs w:val="28"/>
          <w:lang w:val="zh-CN" w:eastAsia="zh-CN"/>
        </w:rPr>
        <w:t>物质</w:t>
      </w:r>
      <w:r>
        <w:rPr>
          <w:rFonts w:hint="eastAsia"/>
          <w:b w:val="0"/>
          <w:bCs w:val="0"/>
          <w:sz w:val="28"/>
          <w:szCs w:val="28"/>
          <w:lang w:val="zh-CN"/>
        </w:rPr>
        <w:t>污染时，需要得到监测部门（第三方监测机构）协助进行必要的监测工作。</w:t>
      </w:r>
    </w:p>
    <w:p>
      <w:pPr>
        <w:pStyle w:val="95"/>
        <w:spacing w:line="520" w:lineRule="exact"/>
        <w:ind w:firstLine="560"/>
        <w:rPr>
          <w:b w:val="0"/>
          <w:bCs w:val="0"/>
          <w:sz w:val="28"/>
          <w:szCs w:val="28"/>
          <w:lang w:val="zh-CN"/>
        </w:rPr>
      </w:pPr>
      <w:r>
        <w:rPr>
          <w:rFonts w:hint="eastAsia"/>
          <w:b w:val="0"/>
          <w:bCs w:val="0"/>
          <w:sz w:val="28"/>
          <w:szCs w:val="28"/>
          <w:lang w:val="zh-CN"/>
        </w:rPr>
        <w:t>在厂内发生特大和重大环境事件，需要进行人员疏散和现场保卫警戒工作时，需要得到公安部门的协助，封锁现场，防止无关人员进入事故现场和污染区。</w:t>
      </w:r>
    </w:p>
    <w:p>
      <w:pPr>
        <w:pStyle w:val="95"/>
        <w:spacing w:line="520" w:lineRule="exact"/>
        <w:ind w:firstLine="560"/>
        <w:rPr>
          <w:b w:val="0"/>
          <w:bCs w:val="0"/>
          <w:sz w:val="28"/>
          <w:szCs w:val="28"/>
          <w:lang w:val="zh-CN"/>
        </w:rPr>
      </w:pPr>
      <w:r>
        <w:rPr>
          <w:rFonts w:hint="eastAsia"/>
          <w:b w:val="0"/>
          <w:bCs w:val="0"/>
          <w:sz w:val="28"/>
          <w:szCs w:val="28"/>
          <w:lang w:val="zh-CN"/>
        </w:rPr>
        <w:t>当发生人员受伤、中毒等情况，单位需要寻求医疗机构（当地医院）的医疗救助。</w:t>
      </w:r>
    </w:p>
    <w:p>
      <w:pPr>
        <w:pStyle w:val="6"/>
        <w:spacing w:before="0" w:beforeAutospacing="0" w:line="520" w:lineRule="exact"/>
        <w:ind w:left="0" w:firstLine="0"/>
        <w:rPr>
          <w:lang w:val="zh-CN"/>
        </w:rPr>
      </w:pPr>
      <w:bookmarkStart w:id="58" w:name="_Toc22949"/>
      <w:r>
        <w:rPr>
          <w:rFonts w:hint="eastAsia"/>
          <w:lang w:val="zh-CN"/>
        </w:rPr>
        <w:t>外部应急/救援力量</w:t>
      </w:r>
      <w:bookmarkEnd w:id="58"/>
    </w:p>
    <w:p>
      <w:pPr>
        <w:pStyle w:val="95"/>
        <w:spacing w:line="520" w:lineRule="exact"/>
        <w:ind w:firstLine="560"/>
        <w:rPr>
          <w:b w:val="0"/>
          <w:bCs w:val="0"/>
          <w:sz w:val="28"/>
          <w:szCs w:val="28"/>
          <w:lang w:val="zh-CN"/>
        </w:rPr>
      </w:pPr>
      <w:r>
        <w:rPr>
          <w:rFonts w:hint="eastAsia"/>
          <w:b w:val="0"/>
          <w:bCs w:val="0"/>
          <w:sz w:val="28"/>
          <w:szCs w:val="28"/>
          <w:lang w:val="zh-CN"/>
        </w:rPr>
        <w:t>为应对突发环境事件应急监测工作，企业主要依靠宜昌市环境保护监测站及其他第三方检测公司的技术支持，以完善企业的应急监测能力。</w:t>
      </w:r>
    </w:p>
    <w:p>
      <w:pPr>
        <w:pStyle w:val="95"/>
        <w:spacing w:line="520" w:lineRule="exact"/>
        <w:ind w:firstLine="560"/>
        <w:rPr>
          <w:b w:val="0"/>
          <w:bCs w:val="0"/>
          <w:sz w:val="28"/>
          <w:szCs w:val="28"/>
          <w:lang w:val="zh-CN"/>
        </w:rPr>
      </w:pPr>
      <w:r>
        <w:rPr>
          <w:rFonts w:hint="eastAsia"/>
          <w:b w:val="0"/>
          <w:bCs w:val="0"/>
          <w:sz w:val="28"/>
          <w:szCs w:val="28"/>
          <w:lang w:val="zh-CN"/>
        </w:rPr>
        <w:t>发生事故时可利用的外部资源见表4.4-1~4.4-4。</w:t>
      </w:r>
    </w:p>
    <w:p>
      <w:pPr>
        <w:pStyle w:val="32"/>
        <w:spacing w:line="240" w:lineRule="auto"/>
      </w:pPr>
      <w:r>
        <w:rPr>
          <w:rFonts w:eastAsia="仿宋"/>
          <w:b w:val="0"/>
          <w:bCs w:val="0"/>
          <w:snapToGrid/>
          <w:kern w:val="2"/>
          <w:sz w:val="28"/>
          <w:szCs w:val="28"/>
        </w:rPr>
        <w:t>表</w:t>
      </w:r>
      <w:r>
        <w:rPr>
          <w:rFonts w:hint="eastAsia" w:eastAsia="仿宋"/>
          <w:b w:val="0"/>
          <w:bCs w:val="0"/>
          <w:snapToGrid/>
          <w:kern w:val="2"/>
          <w:sz w:val="28"/>
          <w:szCs w:val="28"/>
        </w:rPr>
        <w:t>4.4-1</w:t>
      </w:r>
      <w:r>
        <w:rPr>
          <w:rFonts w:eastAsia="仿宋"/>
          <w:b w:val="0"/>
          <w:bCs w:val="0"/>
          <w:snapToGrid/>
          <w:kern w:val="2"/>
          <w:sz w:val="28"/>
          <w:szCs w:val="28"/>
        </w:rPr>
        <w:t xml:space="preserve">  环境应急支持单位和应急场所信息调查表</w:t>
      </w:r>
    </w:p>
    <w:tbl>
      <w:tblPr>
        <w:tblStyle w:val="35"/>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43"/>
        <w:gridCol w:w="900"/>
        <w:gridCol w:w="4860"/>
        <w:gridCol w:w="211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43" w:type="dxa"/>
            <w:noWrap/>
            <w:vAlign w:val="center"/>
          </w:tcPr>
          <w:p>
            <w:pPr>
              <w:jc w:val="center"/>
              <w:rPr>
                <w:rFonts w:eastAsia="仿宋"/>
                <w:b/>
                <w:bCs/>
              </w:rPr>
            </w:pPr>
            <w:r>
              <w:rPr>
                <w:rFonts w:eastAsia="仿宋"/>
                <w:b/>
                <w:bCs/>
              </w:rPr>
              <w:t>序号</w:t>
            </w:r>
          </w:p>
        </w:tc>
        <w:tc>
          <w:tcPr>
            <w:tcW w:w="900" w:type="dxa"/>
            <w:noWrap/>
            <w:vAlign w:val="center"/>
          </w:tcPr>
          <w:p>
            <w:pPr>
              <w:jc w:val="center"/>
              <w:rPr>
                <w:rFonts w:eastAsia="仿宋"/>
                <w:b/>
                <w:bCs/>
              </w:rPr>
            </w:pPr>
            <w:r>
              <w:rPr>
                <w:rFonts w:eastAsia="仿宋"/>
                <w:b/>
                <w:bCs/>
              </w:rPr>
              <w:t>类别</w:t>
            </w:r>
          </w:p>
        </w:tc>
        <w:tc>
          <w:tcPr>
            <w:tcW w:w="4860" w:type="dxa"/>
            <w:noWrap/>
            <w:vAlign w:val="center"/>
          </w:tcPr>
          <w:p>
            <w:pPr>
              <w:jc w:val="center"/>
              <w:rPr>
                <w:rFonts w:eastAsia="仿宋"/>
                <w:b/>
                <w:bCs/>
              </w:rPr>
            </w:pPr>
            <w:r>
              <w:rPr>
                <w:rFonts w:eastAsia="仿宋"/>
                <w:b/>
                <w:bCs/>
              </w:rPr>
              <w:t>单位名称</w:t>
            </w:r>
          </w:p>
        </w:tc>
        <w:tc>
          <w:tcPr>
            <w:tcW w:w="2119" w:type="dxa"/>
            <w:noWrap/>
            <w:vAlign w:val="center"/>
          </w:tcPr>
          <w:p>
            <w:pPr>
              <w:jc w:val="center"/>
              <w:rPr>
                <w:rFonts w:eastAsia="仿宋"/>
                <w:b/>
                <w:bCs/>
              </w:rPr>
            </w:pPr>
            <w:r>
              <w:rPr>
                <w:rFonts w:eastAsia="仿宋"/>
                <w:b/>
                <w:bCs/>
              </w:rPr>
              <w:t>主要能力</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43" w:type="dxa"/>
            <w:noWrap/>
            <w:vAlign w:val="center"/>
          </w:tcPr>
          <w:p>
            <w:pPr>
              <w:jc w:val="center"/>
              <w:rPr>
                <w:rFonts w:eastAsia="仿宋"/>
              </w:rPr>
            </w:pPr>
            <w:r>
              <w:rPr>
                <w:rFonts w:eastAsia="仿宋"/>
              </w:rPr>
              <w:t>1</w:t>
            </w:r>
          </w:p>
        </w:tc>
        <w:tc>
          <w:tcPr>
            <w:tcW w:w="900" w:type="dxa"/>
            <w:noWrap/>
            <w:vAlign w:val="center"/>
          </w:tcPr>
          <w:p>
            <w:pPr>
              <w:jc w:val="center"/>
              <w:rPr>
                <w:rFonts w:eastAsia="仿宋"/>
              </w:rPr>
            </w:pPr>
            <w:r>
              <w:rPr>
                <w:rFonts w:eastAsia="仿宋"/>
              </w:rPr>
              <w:t>应急救援单位</w:t>
            </w:r>
          </w:p>
        </w:tc>
        <w:tc>
          <w:tcPr>
            <w:tcW w:w="4860" w:type="dxa"/>
            <w:noWrap/>
            <w:vAlign w:val="center"/>
          </w:tcPr>
          <w:p>
            <w:pPr>
              <w:jc w:val="center"/>
              <w:rPr>
                <w:rFonts w:eastAsia="仿宋"/>
              </w:rPr>
            </w:pPr>
            <w:r>
              <w:rPr>
                <w:rFonts w:eastAsia="仿宋"/>
                <w:color w:val="000000" w:themeColor="text1"/>
                <w14:textFill>
                  <w14:solidFill>
                    <w14:schemeClr w14:val="tx1"/>
                  </w14:solidFill>
                </w14:textFill>
              </w:rPr>
              <w:t>宜昌市</w:t>
            </w:r>
            <w:r>
              <w:rPr>
                <w:rFonts w:hint="eastAsia" w:eastAsia="仿宋"/>
                <w:color w:val="000000" w:themeColor="text1"/>
                <w14:textFill>
                  <w14:solidFill>
                    <w14:schemeClr w14:val="tx1"/>
                  </w14:solidFill>
                </w14:textFill>
              </w:rPr>
              <w:t>远安县</w:t>
            </w:r>
            <w:r>
              <w:rPr>
                <w:rFonts w:eastAsia="仿宋"/>
                <w:color w:val="000000" w:themeColor="text1"/>
                <w14:textFill>
                  <w14:solidFill>
                    <w14:schemeClr w14:val="tx1"/>
                  </w14:solidFill>
                </w14:textFill>
              </w:rPr>
              <w:t>消防救援大队</w:t>
            </w:r>
          </w:p>
        </w:tc>
        <w:tc>
          <w:tcPr>
            <w:tcW w:w="2119" w:type="dxa"/>
            <w:noWrap/>
            <w:vAlign w:val="center"/>
          </w:tcPr>
          <w:p>
            <w:pPr>
              <w:jc w:val="center"/>
              <w:rPr>
                <w:rFonts w:eastAsia="仿宋"/>
              </w:rPr>
            </w:pPr>
            <w:r>
              <w:rPr>
                <w:rFonts w:eastAsia="仿宋"/>
                <w:color w:val="000000" w:themeColor="text1"/>
                <w14:textFill>
                  <w14:solidFill>
                    <w14:schemeClr w14:val="tx1"/>
                  </w14:solidFill>
                </w14:textFill>
              </w:rPr>
              <w:t>火灾消防救援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43" w:type="dxa"/>
            <w:noWrap/>
            <w:vAlign w:val="center"/>
          </w:tcPr>
          <w:p>
            <w:pPr>
              <w:jc w:val="center"/>
              <w:rPr>
                <w:rFonts w:eastAsia="仿宋"/>
              </w:rPr>
            </w:pPr>
            <w:r>
              <w:rPr>
                <w:rFonts w:eastAsia="仿宋"/>
              </w:rPr>
              <w:t>2</w:t>
            </w:r>
          </w:p>
        </w:tc>
        <w:tc>
          <w:tcPr>
            <w:tcW w:w="900" w:type="dxa"/>
            <w:noWrap/>
            <w:vAlign w:val="center"/>
          </w:tcPr>
          <w:p>
            <w:pPr>
              <w:jc w:val="center"/>
              <w:rPr>
                <w:rFonts w:eastAsia="仿宋"/>
              </w:rPr>
            </w:pPr>
            <w:r>
              <w:rPr>
                <w:rFonts w:eastAsia="仿宋"/>
              </w:rPr>
              <w:t>应急监测单位</w:t>
            </w:r>
          </w:p>
        </w:tc>
        <w:tc>
          <w:tcPr>
            <w:tcW w:w="4860" w:type="dxa"/>
            <w:noWrap/>
            <w:vAlign w:val="center"/>
          </w:tcPr>
          <w:p>
            <w:pPr>
              <w:jc w:val="center"/>
              <w:rPr>
                <w:rFonts w:eastAsia="仿宋"/>
              </w:rPr>
            </w:pPr>
            <w:r>
              <w:rPr>
                <w:rFonts w:eastAsia="仿宋"/>
                <w:color w:val="000000" w:themeColor="text1"/>
                <w14:textFill>
                  <w14:solidFill>
                    <w14:schemeClr w14:val="tx1"/>
                  </w14:solidFill>
                </w14:textFill>
              </w:rPr>
              <w:t>宜昌市环境保护监测站或其他第三方检测公司</w:t>
            </w:r>
          </w:p>
        </w:tc>
        <w:tc>
          <w:tcPr>
            <w:tcW w:w="2119" w:type="dxa"/>
            <w:noWrap/>
            <w:vAlign w:val="center"/>
          </w:tcPr>
          <w:p>
            <w:pPr>
              <w:jc w:val="center"/>
              <w:rPr>
                <w:rFonts w:eastAsia="仿宋"/>
              </w:rPr>
            </w:pPr>
            <w:r>
              <w:rPr>
                <w:rFonts w:eastAsia="仿宋"/>
                <w:color w:val="000000" w:themeColor="text1"/>
                <w14:textFill>
                  <w14:solidFill>
                    <w14:schemeClr w14:val="tx1"/>
                  </w14:solidFill>
                </w14:textFill>
              </w:rPr>
              <w:t>协助突发环境事件应急监测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43" w:type="dxa"/>
            <w:noWrap/>
            <w:vAlign w:val="center"/>
          </w:tcPr>
          <w:p>
            <w:pPr>
              <w:jc w:val="center"/>
              <w:rPr>
                <w:rFonts w:eastAsia="仿宋"/>
              </w:rPr>
            </w:pPr>
            <w:r>
              <w:rPr>
                <w:rFonts w:eastAsia="仿宋"/>
              </w:rPr>
              <w:t>3</w:t>
            </w:r>
          </w:p>
        </w:tc>
        <w:tc>
          <w:tcPr>
            <w:tcW w:w="900" w:type="dxa"/>
            <w:noWrap/>
            <w:vAlign w:val="center"/>
          </w:tcPr>
          <w:p>
            <w:pPr>
              <w:jc w:val="center"/>
              <w:rPr>
                <w:rFonts w:eastAsia="仿宋"/>
              </w:rPr>
            </w:pPr>
            <w:r>
              <w:rPr>
                <w:rFonts w:eastAsia="仿宋"/>
              </w:rPr>
              <w:t>应急指挥场所</w:t>
            </w:r>
          </w:p>
        </w:tc>
        <w:tc>
          <w:tcPr>
            <w:tcW w:w="4860" w:type="dxa"/>
            <w:noWrap/>
            <w:vAlign w:val="center"/>
          </w:tcPr>
          <w:p>
            <w:pPr>
              <w:jc w:val="center"/>
              <w:rPr>
                <w:rFonts w:eastAsia="仿宋"/>
              </w:rPr>
            </w:pPr>
            <w:r>
              <w:rPr>
                <w:rFonts w:hint="eastAsia" w:eastAsia="仿宋"/>
                <w:color w:val="000000" w:themeColor="text1"/>
                <w14:textFill>
                  <w14:solidFill>
                    <w14:schemeClr w14:val="tx1"/>
                  </w14:solidFill>
                </w14:textFill>
              </w:rPr>
              <w:t>航天动力材料产业园</w:t>
            </w:r>
            <w:r>
              <w:rPr>
                <w:rFonts w:eastAsia="仿宋"/>
                <w:color w:val="000000" w:themeColor="text1"/>
                <w14:textFill>
                  <w14:solidFill>
                    <w14:schemeClr w14:val="tx1"/>
                  </w14:solidFill>
                </w14:textFill>
              </w:rPr>
              <w:t>管理办公室</w:t>
            </w:r>
          </w:p>
        </w:tc>
        <w:tc>
          <w:tcPr>
            <w:tcW w:w="2119" w:type="dxa"/>
            <w:noWrap/>
            <w:vAlign w:val="center"/>
          </w:tcPr>
          <w:p>
            <w:pPr>
              <w:jc w:val="center"/>
              <w:rPr>
                <w:rFonts w:eastAsia="仿宋"/>
              </w:rPr>
            </w:pPr>
            <w:r>
              <w:rPr>
                <w:rFonts w:eastAsia="仿宋"/>
                <w:color w:val="000000" w:themeColor="text1"/>
                <w14:textFill>
                  <w14:solidFill>
                    <w14:schemeClr w14:val="tx1"/>
                  </w14:solidFill>
                </w14:textFill>
              </w:rPr>
              <w:t>利用园区广播等设施指挥救援疏散工作</w:t>
            </w:r>
          </w:p>
        </w:tc>
      </w:tr>
    </w:tbl>
    <w:p>
      <w:pPr>
        <w:pStyle w:val="32"/>
        <w:spacing w:line="240" w:lineRule="auto"/>
        <w:rPr>
          <w:rFonts w:eastAsia="仿宋"/>
          <w:b w:val="0"/>
          <w:bCs w:val="0"/>
          <w:snapToGrid/>
          <w:kern w:val="2"/>
          <w:sz w:val="28"/>
          <w:szCs w:val="28"/>
        </w:rPr>
      </w:pPr>
      <w:r>
        <w:rPr>
          <w:rFonts w:hint="eastAsia" w:eastAsia="仿宋"/>
          <w:b w:val="0"/>
          <w:bCs w:val="0"/>
          <w:snapToGrid/>
          <w:kern w:val="2"/>
          <w:sz w:val="28"/>
          <w:szCs w:val="28"/>
        </w:rPr>
        <w:t xml:space="preserve">表4.4-2  </w:t>
      </w:r>
      <w:r>
        <w:rPr>
          <w:rFonts w:eastAsia="仿宋"/>
          <w:b w:val="0"/>
          <w:bCs w:val="0"/>
          <w:snapToGrid/>
          <w:kern w:val="2"/>
          <w:sz w:val="28"/>
          <w:szCs w:val="28"/>
        </w:rPr>
        <w:t>外部应急有关单位联系电话</w:t>
      </w:r>
    </w:p>
    <w:tbl>
      <w:tblPr>
        <w:tblStyle w:val="35"/>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34"/>
        <w:gridCol w:w="4276"/>
        <w:gridCol w:w="251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990" w:type="pct"/>
            <w:noWrap/>
            <w:vAlign w:val="center"/>
          </w:tcPr>
          <w:p>
            <w:pPr>
              <w:snapToGrid w:val="0"/>
              <w:jc w:val="center"/>
              <w:rPr>
                <w:rFonts w:eastAsia="仿宋"/>
                <w:b/>
              </w:rPr>
            </w:pPr>
            <w:r>
              <w:rPr>
                <w:rFonts w:eastAsia="仿宋"/>
                <w:b/>
              </w:rPr>
              <w:t>序号</w:t>
            </w:r>
          </w:p>
        </w:tc>
        <w:tc>
          <w:tcPr>
            <w:tcW w:w="2544" w:type="pct"/>
            <w:noWrap/>
            <w:vAlign w:val="center"/>
          </w:tcPr>
          <w:p>
            <w:pPr>
              <w:snapToGrid w:val="0"/>
              <w:jc w:val="center"/>
              <w:rPr>
                <w:rFonts w:eastAsia="仿宋"/>
                <w:b/>
              </w:rPr>
            </w:pPr>
            <w:r>
              <w:rPr>
                <w:rFonts w:eastAsia="仿宋"/>
                <w:b/>
              </w:rPr>
              <w:t>外部应急单位</w:t>
            </w:r>
          </w:p>
        </w:tc>
        <w:tc>
          <w:tcPr>
            <w:tcW w:w="1464" w:type="pct"/>
            <w:noWrap/>
            <w:vAlign w:val="center"/>
          </w:tcPr>
          <w:p>
            <w:pPr>
              <w:snapToGrid w:val="0"/>
              <w:jc w:val="center"/>
              <w:rPr>
                <w:rFonts w:eastAsia="仿宋"/>
                <w:b/>
              </w:rPr>
            </w:pPr>
            <w:r>
              <w:rPr>
                <w:rFonts w:eastAsia="仿宋"/>
                <w:b/>
              </w:rPr>
              <w:t>联系电话</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1</w:t>
            </w:r>
          </w:p>
        </w:tc>
        <w:tc>
          <w:tcPr>
            <w:tcW w:w="4334" w:type="dxa"/>
            <w:noWrap/>
            <w:vAlign w:val="center"/>
          </w:tcPr>
          <w:p>
            <w:pPr>
              <w:snapToGrid w:val="0"/>
              <w:rPr>
                <w:rFonts w:eastAsia="仿宋"/>
                <w:kern w:val="0"/>
              </w:rPr>
            </w:pPr>
            <w:r>
              <w:rPr>
                <w:rFonts w:eastAsia="仿宋"/>
                <w:color w:val="000000" w:themeColor="text1"/>
                <w:kern w:val="0"/>
                <w14:textFill>
                  <w14:solidFill>
                    <w14:schemeClr w14:val="tx1"/>
                  </w14:solidFill>
                </w14:textFill>
              </w:rPr>
              <w:t>电话查询</w:t>
            </w:r>
          </w:p>
        </w:tc>
        <w:tc>
          <w:tcPr>
            <w:tcW w:w="2498"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114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2</w:t>
            </w:r>
          </w:p>
        </w:tc>
        <w:tc>
          <w:tcPr>
            <w:tcW w:w="4334" w:type="dxa"/>
            <w:noWrap/>
            <w:vAlign w:val="center"/>
          </w:tcPr>
          <w:p>
            <w:pPr>
              <w:snapToGrid w:val="0"/>
              <w:rPr>
                <w:rFonts w:eastAsia="仿宋"/>
                <w:kern w:val="0"/>
              </w:rPr>
            </w:pPr>
            <w:r>
              <w:rPr>
                <w:rFonts w:eastAsia="仿宋"/>
                <w:color w:val="000000" w:themeColor="text1"/>
                <w:kern w:val="0"/>
                <w14:textFill>
                  <w14:solidFill>
                    <w14:schemeClr w14:val="tx1"/>
                  </w14:solidFill>
                </w14:textFill>
              </w:rPr>
              <w:t>报警中心（三警合一）</w:t>
            </w:r>
          </w:p>
        </w:tc>
        <w:tc>
          <w:tcPr>
            <w:tcW w:w="2498"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110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3</w:t>
            </w:r>
          </w:p>
        </w:tc>
        <w:tc>
          <w:tcPr>
            <w:tcW w:w="4334" w:type="dxa"/>
            <w:noWrap/>
            <w:vAlign w:val="center"/>
          </w:tcPr>
          <w:p>
            <w:pPr>
              <w:snapToGrid w:val="0"/>
              <w:rPr>
                <w:rFonts w:eastAsia="仿宋"/>
                <w:kern w:val="0"/>
              </w:rPr>
            </w:pPr>
            <w:r>
              <w:rPr>
                <w:rFonts w:eastAsia="仿宋"/>
                <w:color w:val="000000" w:themeColor="text1"/>
                <w:kern w:val="0"/>
                <w14:textFill>
                  <w14:solidFill>
                    <w14:schemeClr w14:val="tx1"/>
                  </w14:solidFill>
                </w14:textFill>
              </w:rPr>
              <w:t>宜昌市远安县消防救援大队</w:t>
            </w:r>
          </w:p>
        </w:tc>
        <w:tc>
          <w:tcPr>
            <w:tcW w:w="2498" w:type="dxa"/>
            <w:noWrap/>
            <w:vAlign w:val="center"/>
          </w:tcPr>
          <w:p>
            <w:pPr>
              <w:snapToGrid w:val="0"/>
              <w:jc w:val="center"/>
              <w:rPr>
                <w:rFonts w:eastAsia="仿宋"/>
                <w:color w:val="000000"/>
                <w:kern w:val="0"/>
              </w:rPr>
            </w:pPr>
            <w:r>
              <w:rPr>
                <w:rFonts w:eastAsia="仿宋"/>
                <w:bCs/>
                <w:color w:val="000000" w:themeColor="text1"/>
                <w14:textFill>
                  <w14:solidFill>
                    <w14:schemeClr w14:val="tx1"/>
                  </w14:solidFill>
                </w14:textFill>
              </w:rPr>
              <w:t>119</w:t>
            </w:r>
            <w:r>
              <w:rPr>
                <w:rFonts w:hint="eastAsia" w:eastAsia="仿宋"/>
                <w:bCs/>
                <w:color w:val="000000" w:themeColor="text1"/>
                <w14:textFill>
                  <w14:solidFill>
                    <w14:schemeClr w14:val="tx1"/>
                  </w14:solidFill>
                </w14:textFill>
              </w:rPr>
              <w:t>、</w:t>
            </w: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4</w:t>
            </w:r>
          </w:p>
        </w:tc>
        <w:tc>
          <w:tcPr>
            <w:tcW w:w="4334" w:type="dxa"/>
            <w:noWrap/>
            <w:vAlign w:val="center"/>
          </w:tcPr>
          <w:p>
            <w:pPr>
              <w:snapToGrid w:val="0"/>
              <w:rPr>
                <w:rFonts w:eastAsia="仿宋"/>
                <w:kern w:val="0"/>
              </w:rPr>
            </w:pPr>
            <w:r>
              <w:rPr>
                <w:rFonts w:eastAsia="仿宋"/>
                <w:color w:val="000000" w:themeColor="text1"/>
                <w:kern w:val="0"/>
                <w14:textFill>
                  <w14:solidFill>
                    <w14:schemeClr w14:val="tx1"/>
                  </w14:solidFill>
                </w14:textFill>
              </w:rPr>
              <w:t>公安局</w:t>
            </w:r>
          </w:p>
        </w:tc>
        <w:tc>
          <w:tcPr>
            <w:tcW w:w="2498" w:type="dxa"/>
            <w:noWrap/>
            <w:vAlign w:val="center"/>
          </w:tcPr>
          <w:p>
            <w:pPr>
              <w:snapToGrid w:val="0"/>
              <w:jc w:val="center"/>
              <w:rPr>
                <w:rFonts w:eastAsia="仿宋"/>
                <w:color w:val="FF0000"/>
                <w:kern w:val="0"/>
              </w:rPr>
            </w:pPr>
            <w:r>
              <w:rPr>
                <w:rFonts w:eastAsia="仿宋"/>
                <w:color w:val="000000" w:themeColor="text1"/>
                <w:kern w:val="0"/>
                <w14:textFill>
                  <w14:solidFill>
                    <w14:schemeClr w14:val="tx1"/>
                  </w14:solidFill>
                </w14:textFill>
              </w:rPr>
              <w:t>110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5</w:t>
            </w:r>
          </w:p>
        </w:tc>
        <w:tc>
          <w:tcPr>
            <w:tcW w:w="4334" w:type="dxa"/>
            <w:noWrap/>
            <w:vAlign w:val="center"/>
          </w:tcPr>
          <w:p>
            <w:pPr>
              <w:snapToGrid w:val="0"/>
              <w:rPr>
                <w:rFonts w:eastAsia="仿宋"/>
                <w:kern w:val="0"/>
              </w:rPr>
            </w:pPr>
            <w:r>
              <w:rPr>
                <w:rFonts w:eastAsia="仿宋"/>
                <w:color w:val="000000" w:themeColor="text1"/>
                <w:kern w:val="0"/>
                <w14:textFill>
                  <w14:solidFill>
                    <w14:schemeClr w14:val="tx1"/>
                  </w14:solidFill>
                </w14:textFill>
              </w:rPr>
              <w:t>交通</w:t>
            </w:r>
          </w:p>
        </w:tc>
        <w:tc>
          <w:tcPr>
            <w:tcW w:w="2498"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122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6</w:t>
            </w:r>
          </w:p>
        </w:tc>
        <w:tc>
          <w:tcPr>
            <w:tcW w:w="4334" w:type="dxa"/>
            <w:noWrap/>
            <w:vAlign w:val="center"/>
          </w:tcPr>
          <w:p>
            <w:pPr>
              <w:snapToGrid w:val="0"/>
              <w:rPr>
                <w:rFonts w:eastAsia="仿宋"/>
                <w:kern w:val="0"/>
              </w:rPr>
            </w:pPr>
            <w:r>
              <w:rPr>
                <w:rFonts w:eastAsia="仿宋"/>
                <w:color w:val="000000" w:themeColor="text1"/>
                <w:kern w:val="0"/>
                <w14:textFill>
                  <w14:solidFill>
                    <w14:schemeClr w14:val="tx1"/>
                  </w14:solidFill>
                </w14:textFill>
              </w:rPr>
              <w:t>气象部门</w:t>
            </w:r>
          </w:p>
        </w:tc>
        <w:tc>
          <w:tcPr>
            <w:tcW w:w="2498"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121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7</w:t>
            </w:r>
          </w:p>
        </w:tc>
        <w:tc>
          <w:tcPr>
            <w:tcW w:w="4334" w:type="dxa"/>
            <w:noWrap/>
            <w:vAlign w:val="center"/>
          </w:tcPr>
          <w:p>
            <w:pPr>
              <w:snapToGrid w:val="0"/>
              <w:rPr>
                <w:rFonts w:eastAsia="仿宋"/>
                <w:kern w:val="0"/>
              </w:rPr>
            </w:pPr>
            <w:r>
              <w:rPr>
                <w:rFonts w:eastAsia="仿宋"/>
                <w:color w:val="000000" w:themeColor="text1"/>
                <w:kern w:val="0"/>
                <w14:textFill>
                  <w14:solidFill>
                    <w14:schemeClr w14:val="tx1"/>
                  </w14:solidFill>
                </w14:textFill>
              </w:rPr>
              <w:t>宜昌市生态环境局</w:t>
            </w:r>
            <w:r>
              <w:rPr>
                <w:rFonts w:hint="eastAsia" w:eastAsia="仿宋"/>
                <w:color w:val="000000" w:themeColor="text1"/>
                <w:kern w:val="0"/>
                <w14:textFill>
                  <w14:solidFill>
                    <w14:schemeClr w14:val="tx1"/>
                  </w14:solidFill>
                </w14:textFill>
              </w:rPr>
              <w:t>远安县</w:t>
            </w:r>
            <w:r>
              <w:rPr>
                <w:rFonts w:eastAsia="仿宋"/>
                <w:color w:val="000000" w:themeColor="text1"/>
                <w:kern w:val="0"/>
                <w14:textFill>
                  <w14:solidFill>
                    <w14:schemeClr w14:val="tx1"/>
                  </w14:solidFill>
                </w14:textFill>
              </w:rPr>
              <w:t>分局</w:t>
            </w:r>
          </w:p>
        </w:tc>
        <w:tc>
          <w:tcPr>
            <w:tcW w:w="2498" w:type="dxa"/>
            <w:noWrap/>
            <w:vAlign w:val="center"/>
          </w:tcPr>
          <w:p>
            <w:pPr>
              <w:snapToGrid w:val="0"/>
              <w:jc w:val="center"/>
              <w:rPr>
                <w:rFonts w:eastAsia="仿宋"/>
                <w:color w:val="FF0000"/>
                <w:kern w:val="0"/>
              </w:rPr>
            </w:pPr>
            <w:r>
              <w:rPr>
                <w:rFonts w:hint="eastAsia" w:eastAsia="仿宋"/>
                <w:color w:val="000000" w:themeColor="text1"/>
                <w14:textFill>
                  <w14:solidFill>
                    <w14:schemeClr w14:val="tx1"/>
                  </w14:solidFill>
                </w14:textFill>
              </w:rPr>
              <w:t>12369、</w:t>
            </w: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8</w:t>
            </w:r>
          </w:p>
        </w:tc>
        <w:tc>
          <w:tcPr>
            <w:tcW w:w="4334" w:type="dxa"/>
            <w:noWrap/>
            <w:vAlign w:val="center"/>
          </w:tcPr>
          <w:p>
            <w:pPr>
              <w:snapToGrid w:val="0"/>
              <w:rPr>
                <w:rFonts w:eastAsia="仿宋"/>
                <w:kern w:val="0"/>
              </w:rPr>
            </w:pPr>
            <w:r>
              <w:rPr>
                <w:rFonts w:hint="eastAsia" w:eastAsia="仿宋"/>
                <w:color w:val="000000" w:themeColor="text1"/>
                <w:kern w:val="0"/>
                <w14:textFill>
                  <w14:solidFill>
                    <w14:schemeClr w14:val="tx1"/>
                  </w14:solidFill>
                </w14:textFill>
              </w:rPr>
              <w:t>远安县</w:t>
            </w:r>
            <w:r>
              <w:rPr>
                <w:rFonts w:eastAsia="仿宋"/>
                <w:color w:val="000000" w:themeColor="text1"/>
                <w:kern w:val="0"/>
                <w14:textFill>
                  <w14:solidFill>
                    <w14:schemeClr w14:val="tx1"/>
                  </w14:solidFill>
                </w14:textFill>
              </w:rPr>
              <w:t>应急管理局</w:t>
            </w:r>
          </w:p>
        </w:tc>
        <w:tc>
          <w:tcPr>
            <w:tcW w:w="2498" w:type="dxa"/>
            <w:noWrap/>
            <w:vAlign w:val="center"/>
          </w:tcPr>
          <w:p>
            <w:pPr>
              <w:snapToGrid w:val="0"/>
              <w:jc w:val="center"/>
              <w:rPr>
                <w:rFonts w:eastAsia="仿宋"/>
                <w:color w:val="FF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9</w:t>
            </w:r>
          </w:p>
        </w:tc>
        <w:tc>
          <w:tcPr>
            <w:tcW w:w="4334" w:type="dxa"/>
            <w:noWrap/>
            <w:vAlign w:val="center"/>
          </w:tcPr>
          <w:p>
            <w:pPr>
              <w:snapToGrid w:val="0"/>
              <w:rPr>
                <w:rFonts w:eastAsia="仿宋"/>
                <w:color w:val="FF0000"/>
                <w:kern w:val="0"/>
              </w:rPr>
            </w:pPr>
            <w:r>
              <w:rPr>
                <w:rFonts w:eastAsia="仿宋"/>
                <w:color w:val="000000" w:themeColor="text1"/>
                <w:kern w:val="0"/>
                <w14:textFill>
                  <w14:solidFill>
                    <w14:schemeClr w14:val="tx1"/>
                  </w14:solidFill>
                </w14:textFill>
              </w:rPr>
              <w:t>宜昌市环境保护监测站</w:t>
            </w:r>
          </w:p>
        </w:tc>
        <w:tc>
          <w:tcPr>
            <w:tcW w:w="2498" w:type="dxa"/>
            <w:noWrap/>
            <w:vAlign w:val="center"/>
          </w:tcPr>
          <w:p>
            <w:pPr>
              <w:snapToGrid w:val="0"/>
              <w:jc w:val="center"/>
              <w:rPr>
                <w:rFonts w:eastAsia="仿宋"/>
                <w:color w:val="FF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10</w:t>
            </w:r>
          </w:p>
        </w:tc>
        <w:tc>
          <w:tcPr>
            <w:tcW w:w="4334" w:type="dxa"/>
            <w:noWrap/>
            <w:vAlign w:val="center"/>
          </w:tcPr>
          <w:p>
            <w:pPr>
              <w:autoSpaceDN w:val="0"/>
              <w:snapToGrid w:val="0"/>
              <w:jc w:val="left"/>
              <w:textAlignment w:val="center"/>
              <w:rPr>
                <w:rFonts w:eastAsia="仿宋"/>
                <w:color w:val="FF0000"/>
                <w:kern w:val="0"/>
              </w:rPr>
            </w:pPr>
            <w:r>
              <w:rPr>
                <w:rFonts w:eastAsia="仿宋"/>
                <w:color w:val="000000" w:themeColor="text1"/>
                <w:kern w:val="0"/>
                <w14:textFill>
                  <w14:solidFill>
                    <w14:schemeClr w14:val="tx1"/>
                  </w14:solidFill>
                </w14:textFill>
              </w:rPr>
              <w:t>宜昌市应急管理局</w:t>
            </w:r>
          </w:p>
        </w:tc>
        <w:tc>
          <w:tcPr>
            <w:tcW w:w="2498" w:type="dxa"/>
            <w:noWrap/>
            <w:vAlign w:val="center"/>
          </w:tcPr>
          <w:p>
            <w:pPr>
              <w:autoSpaceDN w:val="0"/>
              <w:snapToGrid w:val="0"/>
              <w:jc w:val="center"/>
              <w:textAlignment w:val="center"/>
              <w:rPr>
                <w:rFonts w:eastAsia="仿宋"/>
                <w:color w:val="FF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11</w:t>
            </w:r>
          </w:p>
        </w:tc>
        <w:tc>
          <w:tcPr>
            <w:tcW w:w="4334" w:type="dxa"/>
            <w:noWrap/>
            <w:vAlign w:val="center"/>
          </w:tcPr>
          <w:p>
            <w:pPr>
              <w:spacing w:line="360" w:lineRule="exact"/>
              <w:jc w:val="left"/>
              <w:rPr>
                <w:rFonts w:eastAsia="仿宋"/>
                <w:kern w:val="0"/>
              </w:rPr>
            </w:pPr>
            <w:r>
              <w:rPr>
                <w:rFonts w:eastAsia="仿宋"/>
                <w:color w:val="000000" w:themeColor="text1"/>
                <w14:textFill>
                  <w14:solidFill>
                    <w14:schemeClr w14:val="tx1"/>
                  </w14:solidFill>
                </w14:textFill>
              </w:rPr>
              <w:t>宜昌市生态环境局环境监察支队</w:t>
            </w:r>
          </w:p>
        </w:tc>
        <w:tc>
          <w:tcPr>
            <w:tcW w:w="2498" w:type="dxa"/>
            <w:noWrap/>
            <w:vAlign w:val="center"/>
          </w:tcPr>
          <w:p>
            <w:pPr>
              <w:spacing w:line="360" w:lineRule="exact"/>
              <w:jc w:val="center"/>
              <w:rPr>
                <w:rFonts w:eastAsia="仿宋"/>
                <w:color w:val="00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12</w:t>
            </w:r>
          </w:p>
        </w:tc>
        <w:tc>
          <w:tcPr>
            <w:tcW w:w="4334" w:type="dxa"/>
            <w:noWrap/>
            <w:vAlign w:val="center"/>
          </w:tcPr>
          <w:p>
            <w:pPr>
              <w:spacing w:line="360" w:lineRule="exact"/>
              <w:jc w:val="left"/>
              <w:rPr>
                <w:rFonts w:eastAsia="仿宋"/>
                <w:kern w:val="0"/>
              </w:rPr>
            </w:pPr>
            <w:r>
              <w:rPr>
                <w:rFonts w:eastAsia="仿宋"/>
                <w:color w:val="000000" w:themeColor="text1"/>
                <w14:textFill>
                  <w14:solidFill>
                    <w14:schemeClr w14:val="tx1"/>
                  </w14:solidFill>
                </w14:textFill>
              </w:rPr>
              <w:t>国家电网有限公司</w:t>
            </w:r>
          </w:p>
        </w:tc>
        <w:tc>
          <w:tcPr>
            <w:tcW w:w="2498" w:type="dxa"/>
            <w:noWrap/>
            <w:vAlign w:val="center"/>
          </w:tcPr>
          <w:p>
            <w:pPr>
              <w:spacing w:line="360" w:lineRule="exact"/>
              <w:jc w:val="center"/>
              <w:rPr>
                <w:rFonts w:eastAsia="仿宋"/>
                <w:color w:val="000000"/>
                <w:kern w:val="0"/>
              </w:rPr>
            </w:pPr>
            <w:r>
              <w:rPr>
                <w:rFonts w:eastAsia="仿宋"/>
                <w:color w:val="000000" w:themeColor="text1"/>
                <w14:textFill>
                  <w14:solidFill>
                    <w14:schemeClr w14:val="tx1"/>
                  </w14:solidFill>
                </w14:textFill>
              </w:rPr>
              <w:t>95598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13</w:t>
            </w:r>
          </w:p>
        </w:tc>
        <w:tc>
          <w:tcPr>
            <w:tcW w:w="4334" w:type="dxa"/>
            <w:noWrap/>
            <w:vAlign w:val="center"/>
          </w:tcPr>
          <w:p>
            <w:pPr>
              <w:snapToGrid w:val="0"/>
              <w:rPr>
                <w:rFonts w:eastAsia="仿宋"/>
                <w:kern w:val="0"/>
              </w:rPr>
            </w:pPr>
            <w:r>
              <w:rPr>
                <w:rFonts w:hint="eastAsia" w:eastAsia="仿宋"/>
                <w:color w:val="000000" w:themeColor="text1"/>
                <w:kern w:val="0"/>
                <w14:textFill>
                  <w14:solidFill>
                    <w14:schemeClr w14:val="tx1"/>
                  </w14:solidFill>
                </w14:textFill>
              </w:rPr>
              <w:t>远安县人民医院</w:t>
            </w:r>
          </w:p>
        </w:tc>
        <w:tc>
          <w:tcPr>
            <w:tcW w:w="2498" w:type="dxa"/>
            <w:noWrap/>
            <w:vAlign w:val="center"/>
          </w:tcPr>
          <w:p>
            <w:pPr>
              <w:snapToGrid w:val="0"/>
              <w:jc w:val="center"/>
              <w:rPr>
                <w:rFonts w:eastAsia="仿宋"/>
                <w:color w:val="FF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pStyle w:val="18"/>
              <w:snapToGrid w:val="0"/>
              <w:jc w:val="center"/>
              <w:rPr>
                <w:rFonts w:eastAsia="仿宋"/>
                <w:kern w:val="0"/>
                <w:sz w:val="21"/>
                <w:szCs w:val="21"/>
              </w:rPr>
            </w:pPr>
            <w:r>
              <w:rPr>
                <w:rFonts w:hint="eastAsia" w:eastAsia="仿宋"/>
                <w:color w:val="000000" w:themeColor="text1"/>
                <w:kern w:val="0"/>
                <w:sz w:val="21"/>
                <w:szCs w:val="21"/>
                <w14:textFill>
                  <w14:solidFill>
                    <w14:schemeClr w14:val="tx1"/>
                  </w14:solidFill>
                </w14:textFill>
              </w:rPr>
              <w:t>14</w:t>
            </w:r>
          </w:p>
        </w:tc>
        <w:tc>
          <w:tcPr>
            <w:tcW w:w="4334" w:type="dxa"/>
            <w:noWrap/>
            <w:vAlign w:val="center"/>
          </w:tcPr>
          <w:p>
            <w:pPr>
              <w:snapToGrid w:val="0"/>
              <w:rPr>
                <w:rFonts w:eastAsia="仿宋"/>
                <w:kern w:val="0"/>
              </w:rPr>
            </w:pPr>
            <w:r>
              <w:rPr>
                <w:rFonts w:hint="eastAsia" w:eastAsia="仿宋"/>
                <w:color w:val="000000" w:themeColor="text1"/>
                <w:kern w:val="0"/>
                <w14:textFill>
                  <w14:solidFill>
                    <w14:schemeClr w14:val="tx1"/>
                  </w14:solidFill>
                </w14:textFill>
              </w:rPr>
              <w:t>远安县中医医院</w:t>
            </w:r>
          </w:p>
        </w:tc>
        <w:tc>
          <w:tcPr>
            <w:tcW w:w="2498" w:type="dxa"/>
            <w:noWrap/>
            <w:vAlign w:val="center"/>
          </w:tcPr>
          <w:p>
            <w:pPr>
              <w:snapToGrid w:val="0"/>
              <w:jc w:val="center"/>
              <w:rPr>
                <w:rFonts w:eastAsia="仿宋"/>
                <w:color w:val="00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pStyle w:val="18"/>
              <w:snapToGrid w:val="0"/>
              <w:jc w:val="center"/>
              <w:rPr>
                <w:rFonts w:eastAsia="仿宋"/>
                <w:kern w:val="0"/>
                <w:sz w:val="21"/>
                <w:szCs w:val="21"/>
              </w:rPr>
            </w:pPr>
            <w:r>
              <w:rPr>
                <w:rFonts w:hint="eastAsia" w:eastAsia="仿宋"/>
                <w:color w:val="000000" w:themeColor="text1"/>
                <w:kern w:val="0"/>
                <w:sz w:val="21"/>
                <w:szCs w:val="21"/>
                <w14:textFill>
                  <w14:solidFill>
                    <w14:schemeClr w14:val="tx1"/>
                  </w14:solidFill>
                </w14:textFill>
              </w:rPr>
              <w:t>15</w:t>
            </w:r>
          </w:p>
        </w:tc>
        <w:tc>
          <w:tcPr>
            <w:tcW w:w="4334" w:type="dxa"/>
            <w:noWrap/>
            <w:vAlign w:val="center"/>
          </w:tcPr>
          <w:p>
            <w:pPr>
              <w:snapToGrid w:val="0"/>
              <w:rPr>
                <w:rFonts w:eastAsia="仿宋"/>
                <w:kern w:val="0"/>
              </w:rPr>
            </w:pPr>
            <w:r>
              <w:rPr>
                <w:rFonts w:hint="eastAsia" w:eastAsia="仿宋"/>
                <w:color w:val="000000" w:themeColor="text1"/>
                <w:kern w:val="0"/>
                <w14:textFill>
                  <w14:solidFill>
                    <w14:schemeClr w14:val="tx1"/>
                  </w14:solidFill>
                </w14:textFill>
              </w:rPr>
              <w:t>远安县</w:t>
            </w:r>
            <w:r>
              <w:rPr>
                <w:rFonts w:eastAsia="仿宋"/>
                <w:color w:val="000000" w:themeColor="text1"/>
                <w:kern w:val="0"/>
                <w14:textFill>
                  <w14:solidFill>
                    <w14:schemeClr w14:val="tx1"/>
                  </w14:solidFill>
                </w14:textFill>
              </w:rPr>
              <w:t>卫生防疫站</w:t>
            </w:r>
          </w:p>
        </w:tc>
        <w:tc>
          <w:tcPr>
            <w:tcW w:w="2498" w:type="dxa"/>
            <w:noWrap/>
            <w:vAlign w:val="center"/>
          </w:tcPr>
          <w:p>
            <w:pPr>
              <w:snapToGrid w:val="0"/>
              <w:jc w:val="center"/>
              <w:rPr>
                <w:rFonts w:eastAsia="仿宋"/>
                <w:color w:val="00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pStyle w:val="18"/>
              <w:snapToGrid w:val="0"/>
              <w:jc w:val="center"/>
              <w:rPr>
                <w:rFonts w:eastAsia="仿宋"/>
                <w:kern w:val="0"/>
                <w:sz w:val="21"/>
                <w:szCs w:val="21"/>
              </w:rPr>
            </w:pPr>
            <w:r>
              <w:rPr>
                <w:rFonts w:hint="eastAsia" w:eastAsia="仿宋"/>
                <w:color w:val="000000" w:themeColor="text1"/>
                <w:kern w:val="0"/>
                <w:sz w:val="21"/>
                <w:szCs w:val="21"/>
                <w14:textFill>
                  <w14:solidFill>
                    <w14:schemeClr w14:val="tx1"/>
                  </w14:solidFill>
                </w14:textFill>
              </w:rPr>
              <w:t>16</w:t>
            </w:r>
          </w:p>
        </w:tc>
        <w:tc>
          <w:tcPr>
            <w:tcW w:w="4334" w:type="dxa"/>
            <w:noWrap/>
            <w:vAlign w:val="center"/>
          </w:tcPr>
          <w:p>
            <w:pPr>
              <w:snapToGrid w:val="0"/>
              <w:rPr>
                <w:rFonts w:eastAsia="仿宋"/>
                <w:kern w:val="0"/>
              </w:rPr>
            </w:pPr>
            <w:r>
              <w:rPr>
                <w:rFonts w:hint="eastAsia" w:eastAsia="仿宋"/>
                <w:color w:val="000000" w:themeColor="text1"/>
                <w:kern w:val="0"/>
                <w14:textFill>
                  <w14:solidFill>
                    <w14:schemeClr w14:val="tx1"/>
                  </w14:solidFill>
                </w14:textFill>
              </w:rPr>
              <w:t>夷陵区人民医院</w:t>
            </w:r>
          </w:p>
        </w:tc>
        <w:tc>
          <w:tcPr>
            <w:tcW w:w="2498" w:type="dxa"/>
            <w:noWrap/>
            <w:vAlign w:val="center"/>
          </w:tcPr>
          <w:p>
            <w:pPr>
              <w:snapToGrid w:val="0"/>
              <w:jc w:val="center"/>
              <w:rPr>
                <w:rFonts w:eastAsia="仿宋"/>
                <w:color w:val="00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pStyle w:val="18"/>
              <w:snapToGrid w:val="0"/>
              <w:jc w:val="center"/>
              <w:rPr>
                <w:rFonts w:eastAsia="仿宋"/>
                <w:kern w:val="0"/>
                <w:sz w:val="21"/>
                <w:szCs w:val="21"/>
              </w:rPr>
            </w:pPr>
            <w:r>
              <w:rPr>
                <w:rFonts w:hint="eastAsia" w:eastAsia="仿宋"/>
                <w:color w:val="000000" w:themeColor="text1"/>
                <w:kern w:val="0"/>
                <w:sz w:val="21"/>
                <w:szCs w:val="21"/>
                <w14:textFill>
                  <w14:solidFill>
                    <w14:schemeClr w14:val="tx1"/>
                  </w14:solidFill>
                </w14:textFill>
              </w:rPr>
              <w:t>17</w:t>
            </w:r>
          </w:p>
        </w:tc>
        <w:tc>
          <w:tcPr>
            <w:tcW w:w="4334" w:type="dxa"/>
            <w:noWrap/>
            <w:vAlign w:val="center"/>
          </w:tcPr>
          <w:p>
            <w:pPr>
              <w:snapToGrid w:val="0"/>
              <w:rPr>
                <w:rFonts w:eastAsia="仿宋"/>
                <w:kern w:val="0"/>
              </w:rPr>
            </w:pPr>
            <w:r>
              <w:rPr>
                <w:rFonts w:hint="eastAsia" w:eastAsia="仿宋"/>
                <w:color w:val="000000" w:themeColor="text1"/>
                <w:kern w:val="0"/>
                <w14:textFill>
                  <w14:solidFill>
                    <w14:schemeClr w14:val="tx1"/>
                  </w14:solidFill>
                </w14:textFill>
              </w:rPr>
              <w:t>当阳市人民医院</w:t>
            </w:r>
          </w:p>
        </w:tc>
        <w:tc>
          <w:tcPr>
            <w:tcW w:w="2498" w:type="dxa"/>
            <w:noWrap/>
            <w:vAlign w:val="center"/>
          </w:tcPr>
          <w:p>
            <w:pPr>
              <w:snapToGrid w:val="0"/>
              <w:jc w:val="center"/>
              <w:rPr>
                <w:rFonts w:eastAsia="仿宋"/>
                <w:color w:val="00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pStyle w:val="18"/>
              <w:snapToGrid w:val="0"/>
              <w:jc w:val="center"/>
              <w:rPr>
                <w:rFonts w:eastAsia="仿宋"/>
                <w:kern w:val="0"/>
              </w:rPr>
            </w:pPr>
            <w:r>
              <w:rPr>
                <w:rFonts w:hint="eastAsia" w:eastAsia="仿宋"/>
                <w:color w:val="000000" w:themeColor="text1"/>
                <w:kern w:val="0"/>
                <w:sz w:val="21"/>
                <w:szCs w:val="21"/>
                <w14:textFill>
                  <w14:solidFill>
                    <w14:schemeClr w14:val="tx1"/>
                  </w14:solidFill>
                </w14:textFill>
              </w:rPr>
              <w:t>18</w:t>
            </w:r>
          </w:p>
        </w:tc>
        <w:tc>
          <w:tcPr>
            <w:tcW w:w="4334" w:type="dxa"/>
            <w:noWrap/>
            <w:vAlign w:val="center"/>
          </w:tcPr>
          <w:p>
            <w:pPr>
              <w:snapToGrid w:val="0"/>
              <w:rPr>
                <w:rFonts w:eastAsia="仿宋"/>
                <w:color w:val="FF0000"/>
                <w:kern w:val="0"/>
              </w:rPr>
            </w:pPr>
            <w:r>
              <w:rPr>
                <w:rFonts w:eastAsia="仿宋"/>
                <w:color w:val="000000" w:themeColor="text1"/>
                <w:kern w:val="0"/>
                <w14:textFill>
                  <w14:solidFill>
                    <w14:schemeClr w14:val="tx1"/>
                  </w14:solidFill>
                </w14:textFill>
              </w:rPr>
              <w:t>宜昌市中心医院</w:t>
            </w:r>
          </w:p>
        </w:tc>
        <w:tc>
          <w:tcPr>
            <w:tcW w:w="2498" w:type="dxa"/>
            <w:noWrap/>
            <w:vAlign w:val="center"/>
          </w:tcPr>
          <w:p>
            <w:pPr>
              <w:snapToGrid w:val="0"/>
              <w:jc w:val="center"/>
              <w:rPr>
                <w:rFonts w:eastAsia="仿宋"/>
                <w:color w:val="FF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pStyle w:val="18"/>
              <w:snapToGrid w:val="0"/>
              <w:jc w:val="center"/>
              <w:rPr>
                <w:rFonts w:eastAsia="仿宋"/>
                <w:kern w:val="0"/>
              </w:rPr>
            </w:pPr>
            <w:r>
              <w:rPr>
                <w:rFonts w:hint="eastAsia" w:eastAsia="仿宋"/>
                <w:color w:val="000000" w:themeColor="text1"/>
                <w:kern w:val="0"/>
                <w:sz w:val="21"/>
                <w:szCs w:val="21"/>
                <w14:textFill>
                  <w14:solidFill>
                    <w14:schemeClr w14:val="tx1"/>
                  </w14:solidFill>
                </w14:textFill>
              </w:rPr>
              <w:t>19</w:t>
            </w:r>
          </w:p>
        </w:tc>
        <w:tc>
          <w:tcPr>
            <w:tcW w:w="4334" w:type="dxa"/>
            <w:noWrap/>
            <w:vAlign w:val="center"/>
          </w:tcPr>
          <w:p>
            <w:pPr>
              <w:snapToGrid w:val="0"/>
              <w:rPr>
                <w:rFonts w:eastAsia="仿宋"/>
                <w:kern w:val="0"/>
              </w:rPr>
            </w:pPr>
            <w:r>
              <w:rPr>
                <w:rFonts w:eastAsia="仿宋"/>
                <w:color w:val="000000" w:themeColor="text1"/>
                <w:kern w:val="0"/>
                <w14:textFill>
                  <w14:solidFill>
                    <w14:schemeClr w14:val="tx1"/>
                  </w14:solidFill>
                </w14:textFill>
              </w:rPr>
              <w:t>宜昌市第一人民医院</w:t>
            </w:r>
          </w:p>
        </w:tc>
        <w:tc>
          <w:tcPr>
            <w:tcW w:w="2498" w:type="dxa"/>
            <w:noWrap/>
            <w:vAlign w:val="center"/>
          </w:tcPr>
          <w:p>
            <w:pPr>
              <w:snapToGrid w:val="0"/>
              <w:jc w:val="center"/>
              <w:rPr>
                <w:rFonts w:eastAsia="仿宋"/>
                <w:color w:val="FF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hint="eastAsia" w:eastAsia="仿宋"/>
                <w:color w:val="000000" w:themeColor="text1"/>
                <w:kern w:val="0"/>
                <w14:textFill>
                  <w14:solidFill>
                    <w14:schemeClr w14:val="tx1"/>
                  </w14:solidFill>
                </w14:textFill>
              </w:rPr>
              <w:t>20</w:t>
            </w:r>
          </w:p>
        </w:tc>
        <w:tc>
          <w:tcPr>
            <w:tcW w:w="4334" w:type="dxa"/>
            <w:noWrap/>
            <w:vAlign w:val="center"/>
          </w:tcPr>
          <w:p>
            <w:pPr>
              <w:snapToGrid w:val="0"/>
              <w:rPr>
                <w:rFonts w:eastAsia="仿宋"/>
                <w:kern w:val="0"/>
              </w:rPr>
            </w:pPr>
            <w:r>
              <w:rPr>
                <w:rFonts w:hint="eastAsia" w:eastAsia="仿宋"/>
                <w:color w:val="000000" w:themeColor="text1"/>
                <w:kern w:val="0"/>
                <w14:textFill>
                  <w14:solidFill>
                    <w14:schemeClr w14:val="tx1"/>
                  </w14:solidFill>
                </w14:textFill>
              </w:rPr>
              <w:t>旧县镇人民政府</w:t>
            </w:r>
          </w:p>
        </w:tc>
        <w:tc>
          <w:tcPr>
            <w:tcW w:w="2498" w:type="dxa"/>
            <w:noWrap/>
            <w:vAlign w:val="center"/>
          </w:tcPr>
          <w:p>
            <w:pPr>
              <w:snapToGrid w:val="0"/>
              <w:jc w:val="center"/>
              <w:rPr>
                <w:rFonts w:eastAsia="仿宋"/>
                <w:color w:val="FF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2</w:t>
            </w:r>
            <w:r>
              <w:rPr>
                <w:rFonts w:hint="eastAsia" w:eastAsia="仿宋"/>
                <w:color w:val="000000" w:themeColor="text1"/>
                <w:kern w:val="0"/>
                <w14:textFill>
                  <w14:solidFill>
                    <w14:schemeClr w14:val="tx1"/>
                  </w14:solidFill>
                </w14:textFill>
              </w:rPr>
              <w:t>1</w:t>
            </w:r>
          </w:p>
        </w:tc>
        <w:tc>
          <w:tcPr>
            <w:tcW w:w="4334" w:type="dxa"/>
            <w:noWrap/>
            <w:vAlign w:val="center"/>
          </w:tcPr>
          <w:p>
            <w:pPr>
              <w:snapToGrid w:val="0"/>
              <w:rPr>
                <w:rFonts w:eastAsia="仿宋"/>
              </w:rPr>
            </w:pPr>
            <w:r>
              <w:rPr>
                <w:rFonts w:hint="eastAsia" w:eastAsia="仿宋"/>
                <w:color w:val="000000" w:themeColor="text1"/>
                <w:kern w:val="0"/>
                <w14:textFill>
                  <w14:solidFill>
                    <w14:schemeClr w14:val="tx1"/>
                  </w14:solidFill>
                </w14:textFill>
              </w:rPr>
              <w:t>嫘祖镇人民政府</w:t>
            </w:r>
          </w:p>
        </w:tc>
        <w:tc>
          <w:tcPr>
            <w:tcW w:w="2498" w:type="dxa"/>
            <w:noWrap/>
            <w:vAlign w:val="center"/>
          </w:tcPr>
          <w:p>
            <w:pPr>
              <w:snapToGrid w:val="0"/>
              <w:jc w:val="center"/>
              <w:rPr>
                <w:rFonts w:eastAsia="仿宋"/>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2</w:t>
            </w:r>
            <w:r>
              <w:rPr>
                <w:rFonts w:hint="eastAsia" w:eastAsia="仿宋"/>
                <w:color w:val="000000" w:themeColor="text1"/>
                <w:kern w:val="0"/>
                <w14:textFill>
                  <w14:solidFill>
                    <w14:schemeClr w14:val="tx1"/>
                  </w14:solidFill>
                </w14:textFill>
              </w:rPr>
              <w:t>2</w:t>
            </w:r>
          </w:p>
        </w:tc>
        <w:tc>
          <w:tcPr>
            <w:tcW w:w="4334" w:type="dxa"/>
            <w:noWrap/>
            <w:vAlign w:val="center"/>
          </w:tcPr>
          <w:p>
            <w:pPr>
              <w:snapToGrid w:val="0"/>
              <w:rPr>
                <w:rFonts w:eastAsia="仿宋"/>
                <w:bCs/>
                <w:highlight w:val="yellow"/>
              </w:rPr>
            </w:pPr>
            <w:r>
              <w:rPr>
                <w:rFonts w:hint="eastAsia" w:eastAsia="仿宋"/>
                <w:color w:val="000000" w:themeColor="text1"/>
                <w:kern w:val="0"/>
                <w14:textFill>
                  <w14:solidFill>
                    <w14:schemeClr w14:val="tx1"/>
                  </w14:solidFill>
                </w14:textFill>
              </w:rPr>
              <w:t>鸣凤镇人民政府</w:t>
            </w:r>
          </w:p>
        </w:tc>
        <w:tc>
          <w:tcPr>
            <w:tcW w:w="2498" w:type="dxa"/>
            <w:noWrap/>
            <w:vAlign w:val="center"/>
          </w:tcPr>
          <w:p>
            <w:pPr>
              <w:snapToGrid w:val="0"/>
              <w:jc w:val="center"/>
              <w:rPr>
                <w:rFonts w:eastAsia="仿宋"/>
                <w:color w:val="FF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2</w:t>
            </w:r>
            <w:r>
              <w:rPr>
                <w:rFonts w:hint="eastAsia" w:eastAsia="仿宋"/>
                <w:color w:val="000000" w:themeColor="text1"/>
                <w:kern w:val="0"/>
                <w14:textFill>
                  <w14:solidFill>
                    <w14:schemeClr w14:val="tx1"/>
                  </w14:solidFill>
                </w14:textFill>
              </w:rPr>
              <w:t>3</w:t>
            </w:r>
          </w:p>
        </w:tc>
        <w:tc>
          <w:tcPr>
            <w:tcW w:w="4334" w:type="dxa"/>
            <w:noWrap/>
            <w:vAlign w:val="center"/>
          </w:tcPr>
          <w:p>
            <w:pPr>
              <w:snapToGrid w:val="0"/>
              <w:rPr>
                <w:rFonts w:eastAsia="仿宋"/>
              </w:rPr>
            </w:pPr>
            <w:r>
              <w:rPr>
                <w:rFonts w:hint="eastAsia" w:eastAsia="仿宋"/>
                <w:color w:val="000000" w:themeColor="text1"/>
                <w:kern w:val="0"/>
                <w14:textFill>
                  <w14:solidFill>
                    <w14:schemeClr w14:val="tx1"/>
                  </w14:solidFill>
                </w14:textFill>
              </w:rPr>
              <w:t>茅坪场镇人民政府</w:t>
            </w:r>
          </w:p>
        </w:tc>
        <w:tc>
          <w:tcPr>
            <w:tcW w:w="2498" w:type="dxa"/>
            <w:noWrap/>
            <w:vAlign w:val="center"/>
          </w:tcPr>
          <w:p>
            <w:pPr>
              <w:snapToGrid w:val="0"/>
              <w:jc w:val="center"/>
              <w:rPr>
                <w:rFonts w:eastAsia="仿宋"/>
                <w:color w:val="FF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color w:val="000000" w:themeColor="text1"/>
                <w:kern w:val="0"/>
                <w14:textFill>
                  <w14:solidFill>
                    <w14:schemeClr w14:val="tx1"/>
                  </w14:solidFill>
                </w14:textFill>
              </w:rPr>
              <w:t>2</w:t>
            </w:r>
            <w:r>
              <w:rPr>
                <w:rFonts w:hint="eastAsia" w:eastAsia="仿宋"/>
                <w:color w:val="000000" w:themeColor="text1"/>
                <w:kern w:val="0"/>
                <w14:textFill>
                  <w14:solidFill>
                    <w14:schemeClr w14:val="tx1"/>
                  </w14:solidFill>
                </w14:textFill>
              </w:rPr>
              <w:t>4</w:t>
            </w:r>
          </w:p>
        </w:tc>
        <w:tc>
          <w:tcPr>
            <w:tcW w:w="4334" w:type="dxa"/>
            <w:noWrap/>
            <w:vAlign w:val="center"/>
          </w:tcPr>
          <w:p>
            <w:pPr>
              <w:snapToGrid w:val="0"/>
              <w:rPr>
                <w:rFonts w:eastAsia="仿宋"/>
              </w:rPr>
            </w:pPr>
            <w:r>
              <w:rPr>
                <w:rFonts w:hint="eastAsia" w:eastAsia="仿宋"/>
                <w:color w:val="000000" w:themeColor="text1"/>
                <w:kern w:val="0"/>
                <w14:textFill>
                  <w14:solidFill>
                    <w14:schemeClr w14:val="tx1"/>
                  </w14:solidFill>
                </w14:textFill>
              </w:rPr>
              <w:t>洋坪镇人民政府</w:t>
            </w:r>
          </w:p>
        </w:tc>
        <w:tc>
          <w:tcPr>
            <w:tcW w:w="2498" w:type="dxa"/>
            <w:noWrap/>
            <w:vAlign w:val="center"/>
          </w:tcPr>
          <w:p>
            <w:pPr>
              <w:snapToGrid w:val="0"/>
              <w:jc w:val="center"/>
              <w:rPr>
                <w:rFonts w:eastAsia="仿宋"/>
                <w:color w:val="FF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kern w:val="0"/>
              </w:rPr>
              <w:t>2</w:t>
            </w:r>
            <w:r>
              <w:rPr>
                <w:rFonts w:hint="eastAsia" w:eastAsia="仿宋"/>
                <w:kern w:val="0"/>
              </w:rPr>
              <w:t>5</w:t>
            </w:r>
          </w:p>
        </w:tc>
        <w:tc>
          <w:tcPr>
            <w:tcW w:w="4334" w:type="dxa"/>
            <w:noWrap/>
            <w:vAlign w:val="center"/>
          </w:tcPr>
          <w:p>
            <w:pPr>
              <w:snapToGrid w:val="0"/>
              <w:rPr>
                <w:rFonts w:eastAsia="仿宋"/>
                <w:bCs/>
              </w:rPr>
            </w:pPr>
            <w:r>
              <w:rPr>
                <w:rFonts w:eastAsia="仿宋"/>
              </w:rPr>
              <w:t>宜昌西部化工有限公司</w:t>
            </w:r>
          </w:p>
        </w:tc>
        <w:tc>
          <w:tcPr>
            <w:tcW w:w="2498" w:type="dxa"/>
            <w:noWrap/>
            <w:vAlign w:val="center"/>
          </w:tcPr>
          <w:p>
            <w:pPr>
              <w:snapToGrid w:val="0"/>
              <w:jc w:val="center"/>
              <w:rPr>
                <w:rFonts w:eastAsia="仿宋"/>
                <w:color w:val="FF0000"/>
                <w:kern w:val="0"/>
              </w:rPr>
            </w:pPr>
            <w:r>
              <w:rPr>
                <w:rFonts w:eastAsia="仿宋"/>
              </w:rPr>
              <w:t>周永龙：</w:t>
            </w: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kern w:val="0"/>
              </w:rPr>
              <w:t>2</w:t>
            </w:r>
            <w:r>
              <w:rPr>
                <w:rFonts w:hint="eastAsia" w:eastAsia="仿宋"/>
                <w:kern w:val="0"/>
              </w:rPr>
              <w:t>6</w:t>
            </w:r>
          </w:p>
        </w:tc>
        <w:tc>
          <w:tcPr>
            <w:tcW w:w="4334" w:type="dxa"/>
            <w:noWrap/>
            <w:vAlign w:val="center"/>
          </w:tcPr>
          <w:p>
            <w:pPr>
              <w:snapToGrid w:val="0"/>
              <w:rPr>
                <w:rFonts w:eastAsia="仿宋"/>
              </w:rPr>
            </w:pPr>
            <w:r>
              <w:rPr>
                <w:rFonts w:eastAsia="仿宋"/>
                <w:bCs/>
                <w:color w:val="000000"/>
              </w:rPr>
              <w:t>天元(宜昌)新材料科技有限公司</w:t>
            </w:r>
          </w:p>
        </w:tc>
        <w:tc>
          <w:tcPr>
            <w:tcW w:w="2498" w:type="dxa"/>
            <w:noWrap/>
            <w:vAlign w:val="center"/>
          </w:tcPr>
          <w:p>
            <w:pPr>
              <w:snapToGrid w:val="0"/>
              <w:jc w:val="center"/>
              <w:rPr>
                <w:rFonts w:eastAsia="仿宋"/>
              </w:rPr>
            </w:pPr>
            <w:r>
              <w:rPr>
                <w:rFonts w:eastAsia="仿宋"/>
                <w:kern w:val="0"/>
              </w:rPr>
              <w:t>范严肃</w:t>
            </w:r>
            <w:r>
              <w:rPr>
                <w:rFonts w:hint="eastAsia" w:eastAsia="仿宋"/>
                <w:kern w:val="0"/>
              </w:rPr>
              <w:t>：</w:t>
            </w: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87" w:type="dxa"/>
            <w:noWrap/>
            <w:vAlign w:val="center"/>
          </w:tcPr>
          <w:p>
            <w:pPr>
              <w:snapToGrid w:val="0"/>
              <w:jc w:val="center"/>
              <w:rPr>
                <w:rFonts w:eastAsia="仿宋"/>
                <w:kern w:val="0"/>
              </w:rPr>
            </w:pPr>
            <w:r>
              <w:rPr>
                <w:rFonts w:eastAsia="仿宋"/>
                <w:kern w:val="0"/>
              </w:rPr>
              <w:t>2</w:t>
            </w:r>
            <w:r>
              <w:rPr>
                <w:rFonts w:hint="eastAsia" w:eastAsia="仿宋"/>
                <w:kern w:val="0"/>
              </w:rPr>
              <w:t>7</w:t>
            </w:r>
          </w:p>
        </w:tc>
        <w:tc>
          <w:tcPr>
            <w:tcW w:w="4334" w:type="dxa"/>
            <w:noWrap/>
            <w:vAlign w:val="center"/>
          </w:tcPr>
          <w:p>
            <w:pPr>
              <w:snapToGrid w:val="0"/>
              <w:rPr>
                <w:rFonts w:eastAsia="仿宋"/>
              </w:rPr>
            </w:pPr>
            <w:r>
              <w:rPr>
                <w:rFonts w:eastAsia="仿宋"/>
                <w:color w:val="000000"/>
              </w:rPr>
              <w:t>园区安委会</w:t>
            </w:r>
          </w:p>
        </w:tc>
        <w:tc>
          <w:tcPr>
            <w:tcW w:w="2498" w:type="dxa"/>
            <w:noWrap/>
            <w:vAlign w:val="center"/>
          </w:tcPr>
          <w:p>
            <w:pPr>
              <w:snapToGrid w:val="0"/>
              <w:jc w:val="center"/>
              <w:rPr>
                <w:rFonts w:eastAsia="仿宋"/>
              </w:rPr>
            </w:pPr>
            <w:r>
              <w:rPr>
                <w:rFonts w:eastAsia="仿宋"/>
                <w:kern w:val="0"/>
              </w:rPr>
              <w:t>向玉玲</w:t>
            </w:r>
            <w:r>
              <w:rPr>
                <w:rFonts w:hint="eastAsia" w:eastAsia="仿宋"/>
                <w:kern w:val="0"/>
              </w:rPr>
              <w:t>：</w:t>
            </w: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3"/>
            <w:noWrap/>
            <w:vAlign w:val="center"/>
          </w:tcPr>
          <w:p>
            <w:pPr>
              <w:snapToGrid w:val="0"/>
              <w:jc w:val="center"/>
              <w:rPr>
                <w:rFonts w:eastAsia="仿宋"/>
              </w:rPr>
            </w:pPr>
            <w:r>
              <w:rPr>
                <w:rFonts w:eastAsia="仿宋"/>
              </w:rPr>
              <w:t>注：向外请求支援时，必须向请求支援单位（部门）讲清楚事故种类、性质，事故的破坏程度及现状，可能危急的人数和公司的具体地点等，以确保外部救援队能准确快速的做出反应。</w:t>
            </w:r>
          </w:p>
        </w:tc>
      </w:tr>
    </w:tbl>
    <w:p>
      <w:pPr>
        <w:pStyle w:val="32"/>
        <w:spacing w:line="240" w:lineRule="auto"/>
        <w:rPr>
          <w:rFonts w:eastAsia="仿宋"/>
          <w:b w:val="0"/>
          <w:bCs w:val="0"/>
          <w:snapToGrid/>
          <w:kern w:val="2"/>
          <w:sz w:val="28"/>
          <w:szCs w:val="28"/>
        </w:rPr>
      </w:pPr>
      <w:r>
        <w:rPr>
          <w:rFonts w:hint="eastAsia" w:eastAsia="仿宋"/>
          <w:b w:val="0"/>
          <w:bCs w:val="0"/>
          <w:snapToGrid/>
          <w:kern w:val="2"/>
          <w:sz w:val="28"/>
          <w:szCs w:val="28"/>
        </w:rPr>
        <w:t>表4.4-3  周边可利用应急救援设施及物资一览表（</w:t>
      </w:r>
      <w:r>
        <w:rPr>
          <w:rFonts w:hint="eastAsia" w:eastAsia="仿宋"/>
          <w:b w:val="0"/>
          <w:bCs w:val="0"/>
          <w:snapToGrid/>
          <w:kern w:val="2"/>
          <w:sz w:val="28"/>
          <w:szCs w:val="28"/>
          <w:lang w:eastAsia="zh-CN"/>
        </w:rPr>
        <w:t>西部化工</w:t>
      </w:r>
      <w:r>
        <w:rPr>
          <w:rFonts w:hint="eastAsia" w:eastAsia="仿宋"/>
          <w:b w:val="0"/>
          <w:bCs w:val="0"/>
          <w:snapToGrid/>
          <w:kern w:val="2"/>
          <w:sz w:val="28"/>
          <w:szCs w:val="28"/>
        </w:rPr>
        <w:t>）</w:t>
      </w:r>
    </w:p>
    <w:tbl>
      <w:tblPr>
        <w:tblStyle w:val="35"/>
        <w:tblW w:w="4999"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356"/>
        <w:gridCol w:w="1788"/>
        <w:gridCol w:w="1185"/>
        <w:gridCol w:w="1563"/>
        <w:gridCol w:w="162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383" w:type="pct"/>
            <w:vMerge w:val="restart"/>
            <w:tcBorders>
              <w:tl2br w:val="nil"/>
              <w:tr2bl w:val="nil"/>
            </w:tcBorders>
            <w:noWrap/>
            <w:vAlign w:val="center"/>
          </w:tcPr>
          <w:p>
            <w:pPr>
              <w:widowControl/>
              <w:jc w:val="center"/>
              <w:rPr>
                <w:rFonts w:eastAsia="仿宋"/>
                <w:b/>
                <w:bCs/>
                <w:kern w:val="0"/>
              </w:rPr>
            </w:pPr>
            <w:r>
              <w:rPr>
                <w:rFonts w:eastAsia="仿宋"/>
                <w:b/>
                <w:bCs/>
                <w:kern w:val="0"/>
              </w:rPr>
              <w:t>应急救援物资名称</w:t>
            </w:r>
          </w:p>
        </w:tc>
        <w:tc>
          <w:tcPr>
            <w:tcW w:w="3616" w:type="pct"/>
            <w:gridSpan w:val="4"/>
            <w:tcBorders>
              <w:tl2br w:val="nil"/>
              <w:tr2bl w:val="nil"/>
            </w:tcBorders>
            <w:noWrap/>
            <w:vAlign w:val="center"/>
          </w:tcPr>
          <w:p>
            <w:pPr>
              <w:widowControl/>
              <w:jc w:val="center"/>
              <w:rPr>
                <w:rFonts w:eastAsia="仿宋"/>
                <w:b/>
                <w:bCs/>
                <w:kern w:val="0"/>
              </w:rPr>
            </w:pPr>
            <w:r>
              <w:rPr>
                <w:rFonts w:eastAsia="仿宋"/>
                <w:b/>
                <w:bCs/>
                <w:kern w:val="0"/>
              </w:rPr>
              <w:t>已 有 物 资（器材、装备）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383" w:type="pct"/>
            <w:vMerge w:val="continue"/>
            <w:tcBorders>
              <w:tl2br w:val="nil"/>
              <w:tr2bl w:val="nil"/>
            </w:tcBorders>
            <w:noWrap/>
            <w:vAlign w:val="center"/>
          </w:tcPr>
          <w:p>
            <w:pPr>
              <w:widowControl/>
              <w:jc w:val="left"/>
              <w:rPr>
                <w:rFonts w:eastAsia="仿宋"/>
                <w:b/>
                <w:bCs/>
                <w:kern w:val="0"/>
              </w:rPr>
            </w:pPr>
          </w:p>
        </w:tc>
        <w:tc>
          <w:tcPr>
            <w:tcW w:w="1049" w:type="pct"/>
            <w:tcBorders>
              <w:tl2br w:val="nil"/>
              <w:tr2bl w:val="nil"/>
            </w:tcBorders>
            <w:noWrap/>
            <w:vAlign w:val="center"/>
          </w:tcPr>
          <w:p>
            <w:pPr>
              <w:widowControl/>
              <w:jc w:val="center"/>
              <w:rPr>
                <w:rFonts w:eastAsia="仿宋"/>
                <w:b/>
                <w:bCs/>
                <w:kern w:val="0"/>
              </w:rPr>
            </w:pPr>
            <w:r>
              <w:rPr>
                <w:rFonts w:eastAsia="仿宋"/>
                <w:b/>
                <w:bCs/>
                <w:kern w:val="0"/>
              </w:rPr>
              <w:t>规格型号</w:t>
            </w:r>
          </w:p>
        </w:tc>
        <w:tc>
          <w:tcPr>
            <w:tcW w:w="695" w:type="pct"/>
            <w:tcBorders>
              <w:tl2br w:val="nil"/>
              <w:tr2bl w:val="nil"/>
            </w:tcBorders>
            <w:noWrap/>
            <w:vAlign w:val="center"/>
          </w:tcPr>
          <w:p>
            <w:pPr>
              <w:widowControl/>
              <w:jc w:val="center"/>
              <w:rPr>
                <w:rFonts w:eastAsia="仿宋"/>
                <w:b/>
                <w:bCs/>
                <w:kern w:val="0"/>
              </w:rPr>
            </w:pPr>
            <w:r>
              <w:rPr>
                <w:rFonts w:eastAsia="仿宋"/>
                <w:b/>
                <w:bCs/>
                <w:kern w:val="0"/>
              </w:rPr>
              <w:t>数量</w:t>
            </w:r>
          </w:p>
        </w:tc>
        <w:tc>
          <w:tcPr>
            <w:tcW w:w="917" w:type="pct"/>
            <w:tcBorders>
              <w:tl2br w:val="nil"/>
              <w:tr2bl w:val="nil"/>
            </w:tcBorders>
            <w:noWrap/>
            <w:vAlign w:val="center"/>
          </w:tcPr>
          <w:p>
            <w:pPr>
              <w:widowControl/>
              <w:jc w:val="center"/>
              <w:rPr>
                <w:rFonts w:eastAsia="仿宋"/>
                <w:b/>
                <w:bCs/>
                <w:kern w:val="0"/>
              </w:rPr>
            </w:pPr>
            <w:r>
              <w:rPr>
                <w:rFonts w:eastAsia="仿宋"/>
                <w:b/>
                <w:bCs/>
                <w:kern w:val="0"/>
              </w:rPr>
              <w:t>完好情况</w:t>
            </w:r>
          </w:p>
        </w:tc>
        <w:tc>
          <w:tcPr>
            <w:tcW w:w="953" w:type="pct"/>
            <w:tcBorders>
              <w:tl2br w:val="nil"/>
              <w:tr2bl w:val="nil"/>
            </w:tcBorders>
            <w:noWrap/>
            <w:vAlign w:val="center"/>
          </w:tcPr>
          <w:p>
            <w:pPr>
              <w:widowControl/>
              <w:jc w:val="center"/>
              <w:rPr>
                <w:rFonts w:eastAsia="仿宋"/>
                <w:b/>
                <w:bCs/>
                <w:kern w:val="0"/>
              </w:rPr>
            </w:pPr>
            <w:r>
              <w:rPr>
                <w:rFonts w:eastAsia="仿宋"/>
                <w:b/>
                <w:bCs/>
                <w:kern w:val="0"/>
              </w:rPr>
              <w:t>用 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灭火器</w:t>
            </w:r>
          </w:p>
        </w:tc>
        <w:tc>
          <w:tcPr>
            <w:tcW w:w="1788" w:type="dxa"/>
            <w:tcBorders>
              <w:tl2br w:val="nil"/>
              <w:tr2bl w:val="nil"/>
            </w:tcBorders>
            <w:noWrap/>
            <w:vAlign w:val="center"/>
          </w:tcPr>
          <w:p>
            <w:pPr>
              <w:widowControl/>
              <w:jc w:val="center"/>
              <w:rPr>
                <w:rFonts w:eastAsia="仿宋"/>
                <w:color w:val="FF0000"/>
                <w:kern w:val="0"/>
              </w:rPr>
            </w:pPr>
            <w:r>
              <w:rPr>
                <w:rFonts w:eastAsia="仿宋"/>
                <w:kern w:val="0"/>
              </w:rPr>
              <w:t>MFZ/ABC4</w:t>
            </w:r>
          </w:p>
        </w:tc>
        <w:tc>
          <w:tcPr>
            <w:tcW w:w="1185" w:type="dxa"/>
            <w:tcBorders>
              <w:tl2br w:val="nil"/>
              <w:tr2bl w:val="nil"/>
            </w:tcBorders>
            <w:noWrap/>
            <w:vAlign w:val="center"/>
          </w:tcPr>
          <w:p>
            <w:pPr>
              <w:widowControl/>
              <w:jc w:val="center"/>
              <w:rPr>
                <w:rFonts w:eastAsia="仿宋"/>
                <w:color w:val="FF0000"/>
                <w:kern w:val="0"/>
              </w:rPr>
            </w:pPr>
            <w:r>
              <w:rPr>
                <w:rFonts w:eastAsia="仿宋"/>
                <w:kern w:val="0"/>
              </w:rPr>
              <w:t>176</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均在有效期</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消防水带</w:t>
            </w:r>
          </w:p>
        </w:tc>
        <w:tc>
          <w:tcPr>
            <w:tcW w:w="1788" w:type="dxa"/>
            <w:tcBorders>
              <w:tl2br w:val="nil"/>
              <w:tr2bl w:val="nil"/>
            </w:tcBorders>
            <w:noWrap/>
            <w:vAlign w:val="center"/>
          </w:tcPr>
          <w:p>
            <w:pPr>
              <w:widowControl/>
              <w:jc w:val="center"/>
              <w:rPr>
                <w:rFonts w:eastAsia="仿宋"/>
                <w:color w:val="FF0000"/>
                <w:kern w:val="0"/>
              </w:rPr>
            </w:pPr>
            <w:r>
              <w:rPr>
                <w:rFonts w:eastAsia="仿宋"/>
                <w:kern w:val="0"/>
              </w:rPr>
              <w:t>DN65</w:t>
            </w:r>
          </w:p>
        </w:tc>
        <w:tc>
          <w:tcPr>
            <w:tcW w:w="1185" w:type="dxa"/>
            <w:tcBorders>
              <w:tl2br w:val="nil"/>
              <w:tr2bl w:val="nil"/>
            </w:tcBorders>
            <w:noWrap/>
            <w:vAlign w:val="center"/>
          </w:tcPr>
          <w:p>
            <w:pPr>
              <w:widowControl/>
              <w:jc w:val="center"/>
              <w:rPr>
                <w:rFonts w:eastAsia="仿宋"/>
                <w:color w:val="FF0000"/>
                <w:kern w:val="0"/>
              </w:rPr>
            </w:pPr>
            <w:r>
              <w:rPr>
                <w:rFonts w:eastAsia="仿宋"/>
                <w:kern w:val="0"/>
              </w:rPr>
              <w:t>46</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担架</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rPr>
              <w:t>1副</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医药箱</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rPr>
              <w:t>1个</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雨靴</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rPr>
              <w:t>20双</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雨衣</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rPr>
              <w:t>20件</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耐酸手套</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rPr>
              <w:t>10双</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救身衣</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kern w:val="0"/>
              </w:rPr>
              <w:t>6套</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救身圈</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rPr>
              <w:t>4个</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面具过滤器</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kern w:val="0"/>
              </w:rPr>
              <w:t>10个</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防毒面具</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kern w:val="0"/>
              </w:rPr>
              <w:t>20个</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防化服</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rPr>
              <w:t>8套</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防化靴</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rPr>
              <w:t>20双</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防化手套</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rPr>
              <w:t>30双</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有机面罩</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rPr>
              <w:t>15个</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连续送风长管呼吸机器</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rPr>
              <w:t>1套</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气防站</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kern w:val="0"/>
              </w:rPr>
              <w:t>1个</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手摇报警器</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kern w:val="0"/>
              </w:rPr>
              <w:t>1个</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356" w:type="dxa"/>
            <w:tcBorders>
              <w:tl2br w:val="nil"/>
              <w:tr2bl w:val="nil"/>
            </w:tcBorders>
            <w:noWrap/>
            <w:vAlign w:val="center"/>
          </w:tcPr>
          <w:p>
            <w:pPr>
              <w:widowControl/>
              <w:jc w:val="center"/>
              <w:rPr>
                <w:rFonts w:eastAsia="仿宋"/>
                <w:color w:val="FF0000"/>
                <w:kern w:val="0"/>
              </w:rPr>
            </w:pPr>
            <w:r>
              <w:rPr>
                <w:rFonts w:eastAsia="仿宋"/>
              </w:rPr>
              <w:t>装载机</w:t>
            </w:r>
          </w:p>
        </w:tc>
        <w:tc>
          <w:tcPr>
            <w:tcW w:w="1788" w:type="dxa"/>
            <w:tcBorders>
              <w:tl2br w:val="nil"/>
              <w:tr2bl w:val="nil"/>
            </w:tcBorders>
            <w:noWrap/>
            <w:vAlign w:val="center"/>
          </w:tcPr>
          <w:p>
            <w:pPr>
              <w:widowControl/>
              <w:jc w:val="center"/>
              <w:rPr>
                <w:rFonts w:eastAsia="仿宋"/>
                <w:color w:val="FF0000"/>
                <w:kern w:val="0"/>
              </w:rPr>
            </w:pPr>
          </w:p>
        </w:tc>
        <w:tc>
          <w:tcPr>
            <w:tcW w:w="1185" w:type="dxa"/>
            <w:tcBorders>
              <w:tl2br w:val="nil"/>
              <w:tr2bl w:val="nil"/>
            </w:tcBorders>
            <w:noWrap/>
            <w:vAlign w:val="center"/>
          </w:tcPr>
          <w:p>
            <w:pPr>
              <w:widowControl/>
              <w:jc w:val="center"/>
              <w:rPr>
                <w:rFonts w:eastAsia="仿宋"/>
                <w:color w:val="FF0000"/>
                <w:kern w:val="0"/>
              </w:rPr>
            </w:pPr>
            <w:r>
              <w:rPr>
                <w:rFonts w:eastAsia="仿宋"/>
              </w:rPr>
              <w:t>2辆</w:t>
            </w:r>
          </w:p>
        </w:tc>
        <w:tc>
          <w:tcPr>
            <w:tcW w:w="1563" w:type="dxa"/>
            <w:tcBorders>
              <w:tl2br w:val="nil"/>
              <w:tr2bl w:val="nil"/>
            </w:tcBorders>
            <w:noWrap/>
            <w:vAlign w:val="center"/>
          </w:tcPr>
          <w:p>
            <w:pPr>
              <w:widowControl/>
              <w:jc w:val="center"/>
              <w:rPr>
                <w:rFonts w:eastAsia="仿宋"/>
                <w:color w:val="FF0000"/>
                <w:kern w:val="0"/>
              </w:rPr>
            </w:pPr>
            <w:r>
              <w:rPr>
                <w:rFonts w:eastAsia="仿宋"/>
                <w:kern w:val="0"/>
              </w:rPr>
              <w:t>完好</w:t>
            </w:r>
          </w:p>
        </w:tc>
        <w:tc>
          <w:tcPr>
            <w:tcW w:w="1628" w:type="dxa"/>
            <w:tcBorders>
              <w:tl2br w:val="nil"/>
              <w:tr2bl w:val="nil"/>
            </w:tcBorders>
            <w:noWrap/>
            <w:vAlign w:val="center"/>
          </w:tcPr>
          <w:p>
            <w:pPr>
              <w:widowControl/>
              <w:jc w:val="center"/>
              <w:rPr>
                <w:rFonts w:eastAsia="仿宋"/>
                <w:color w:val="FF0000"/>
                <w:kern w:val="0"/>
              </w:rPr>
            </w:pPr>
            <w:r>
              <w:rPr>
                <w:rFonts w:eastAsia="仿宋"/>
                <w:kern w:val="0"/>
              </w:rPr>
              <w:t>应对突发事件</w:t>
            </w:r>
          </w:p>
        </w:tc>
      </w:tr>
    </w:tbl>
    <w:p>
      <w:pPr>
        <w:pStyle w:val="32"/>
        <w:spacing w:line="240" w:lineRule="auto"/>
        <w:rPr>
          <w:rFonts w:eastAsia="仿宋"/>
          <w:b w:val="0"/>
          <w:bCs w:val="0"/>
          <w:snapToGrid/>
          <w:kern w:val="2"/>
          <w:sz w:val="28"/>
          <w:szCs w:val="28"/>
        </w:rPr>
      </w:pPr>
      <w:r>
        <w:rPr>
          <w:rFonts w:hint="eastAsia" w:eastAsia="仿宋"/>
          <w:b w:val="0"/>
          <w:bCs w:val="0"/>
          <w:snapToGrid/>
          <w:kern w:val="2"/>
          <w:sz w:val="28"/>
          <w:szCs w:val="28"/>
        </w:rPr>
        <w:t>表4.4-4  周边可利用应急柜物品一览表（</w:t>
      </w:r>
      <w:r>
        <w:rPr>
          <w:rFonts w:hint="eastAsia" w:eastAsia="仿宋"/>
          <w:b w:val="0"/>
          <w:bCs w:val="0"/>
          <w:snapToGrid/>
          <w:kern w:val="2"/>
          <w:sz w:val="28"/>
          <w:szCs w:val="28"/>
          <w:lang w:eastAsia="zh-CN"/>
        </w:rPr>
        <w:t>天元</w:t>
      </w:r>
      <w:r>
        <w:rPr>
          <w:rFonts w:hint="eastAsia" w:eastAsia="仿宋"/>
          <w:b w:val="0"/>
          <w:bCs w:val="0"/>
          <w:snapToGrid/>
          <w:kern w:val="2"/>
          <w:sz w:val="28"/>
          <w:szCs w:val="28"/>
        </w:rPr>
        <w:t>公司）</w:t>
      </w:r>
    </w:p>
    <w:tbl>
      <w:tblPr>
        <w:tblStyle w:val="35"/>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626"/>
        <w:gridCol w:w="3141"/>
        <w:gridCol w:w="1953"/>
        <w:gridCol w:w="179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954" w:type="pct"/>
            <w:tcBorders>
              <w:tl2br w:val="nil"/>
              <w:tr2bl w:val="nil"/>
            </w:tcBorders>
            <w:noWrap/>
            <w:vAlign w:val="center"/>
          </w:tcPr>
          <w:p>
            <w:pPr>
              <w:jc w:val="center"/>
              <w:rPr>
                <w:rFonts w:eastAsia="仿宋"/>
                <w:b/>
                <w:bCs/>
                <w:kern w:val="0"/>
              </w:rPr>
            </w:pPr>
            <w:r>
              <w:rPr>
                <w:rFonts w:eastAsia="仿宋"/>
                <w:b/>
                <w:bCs/>
                <w:kern w:val="0"/>
              </w:rPr>
              <w:t>序号</w:t>
            </w:r>
          </w:p>
        </w:tc>
        <w:tc>
          <w:tcPr>
            <w:tcW w:w="1843" w:type="pct"/>
            <w:tcBorders>
              <w:tl2br w:val="nil"/>
              <w:tr2bl w:val="nil"/>
            </w:tcBorders>
            <w:noWrap/>
            <w:vAlign w:val="center"/>
          </w:tcPr>
          <w:p>
            <w:pPr>
              <w:jc w:val="center"/>
              <w:rPr>
                <w:rFonts w:eastAsia="仿宋"/>
                <w:b/>
                <w:bCs/>
                <w:kern w:val="0"/>
              </w:rPr>
            </w:pPr>
            <w:r>
              <w:rPr>
                <w:rFonts w:eastAsia="仿宋"/>
                <w:b/>
                <w:bCs/>
                <w:kern w:val="0"/>
              </w:rPr>
              <w:t>应急器材名称</w:t>
            </w:r>
          </w:p>
        </w:tc>
        <w:tc>
          <w:tcPr>
            <w:tcW w:w="1146" w:type="pct"/>
            <w:tcBorders>
              <w:tl2br w:val="nil"/>
              <w:tr2bl w:val="nil"/>
            </w:tcBorders>
            <w:noWrap/>
            <w:vAlign w:val="center"/>
          </w:tcPr>
          <w:p>
            <w:pPr>
              <w:jc w:val="center"/>
              <w:rPr>
                <w:rFonts w:eastAsia="仿宋"/>
                <w:b/>
                <w:bCs/>
                <w:kern w:val="0"/>
              </w:rPr>
            </w:pPr>
            <w:r>
              <w:rPr>
                <w:rFonts w:eastAsia="仿宋"/>
                <w:b/>
                <w:bCs/>
                <w:kern w:val="0"/>
              </w:rPr>
              <w:t>单位</w:t>
            </w:r>
          </w:p>
        </w:tc>
        <w:tc>
          <w:tcPr>
            <w:tcW w:w="1055" w:type="pct"/>
            <w:tcBorders>
              <w:tl2br w:val="nil"/>
              <w:tr2bl w:val="nil"/>
            </w:tcBorders>
            <w:noWrap/>
            <w:vAlign w:val="center"/>
          </w:tcPr>
          <w:p>
            <w:pPr>
              <w:jc w:val="center"/>
              <w:rPr>
                <w:rFonts w:eastAsia="仿宋"/>
                <w:b/>
                <w:bCs/>
                <w:kern w:val="0"/>
              </w:rPr>
            </w:pPr>
            <w:r>
              <w:rPr>
                <w:rFonts w:eastAsia="仿宋"/>
                <w:b/>
                <w:bCs/>
                <w:kern w:val="0"/>
              </w:rPr>
              <w:t>数量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eastAsia="仿宋"/>
                <w:kern w:val="0"/>
              </w:rPr>
              <w:t>1</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过滤式自救呼吸器</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具</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eastAsia="仿宋"/>
                <w:kern w:val="0"/>
              </w:rPr>
              <w:t>2</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正压式空气呼吸器</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具</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eastAsia="仿宋"/>
                <w:kern w:val="0"/>
              </w:rPr>
              <w:t>3</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安全绳</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条</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eastAsia="仿宋"/>
                <w:kern w:val="0"/>
              </w:rPr>
              <w:t>4</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防爆手电筒</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个</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eastAsia="仿宋"/>
                <w:kern w:val="0"/>
              </w:rPr>
              <w:t>5</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雨衣</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套</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eastAsia="仿宋"/>
                <w:kern w:val="0"/>
              </w:rPr>
              <w:t>6</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水鞋</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双</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eastAsia="仿宋"/>
                <w:kern w:val="0"/>
              </w:rPr>
              <w:t>7</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防静电服</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套</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eastAsia="仿宋"/>
                <w:kern w:val="0"/>
              </w:rPr>
              <w:t>8</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担架</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副</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eastAsia="仿宋"/>
                <w:kern w:val="0"/>
              </w:rPr>
              <w:t>9</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长管呼吸器</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具</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eastAsia="仿宋"/>
                <w:kern w:val="0"/>
              </w:rPr>
              <w:t>10</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直流水枪</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个</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hint="eastAsia" w:eastAsia="仿宋"/>
                <w:kern w:val="0"/>
              </w:rPr>
              <w:t>11</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开花水枪</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个</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hint="eastAsia" w:eastAsia="仿宋"/>
                <w:kern w:val="0"/>
              </w:rPr>
              <w:t>12</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防化服（重型）</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套</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hint="eastAsia" w:eastAsia="仿宋"/>
                <w:kern w:val="0"/>
              </w:rPr>
              <w:t>13</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推车式灭火器</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具</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hint="eastAsia" w:eastAsia="仿宋"/>
                <w:kern w:val="0"/>
              </w:rPr>
              <w:t>14</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消防铁铲</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把</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hint="eastAsia" w:eastAsia="仿宋"/>
                <w:kern w:val="0"/>
              </w:rPr>
              <w:t>15</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警戒带</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条</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hint="eastAsia" w:eastAsia="仿宋"/>
                <w:kern w:val="0"/>
              </w:rPr>
              <w:t>16</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手摇报警器</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个</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hint="eastAsia" w:eastAsia="仿宋"/>
                <w:kern w:val="0"/>
              </w:rPr>
              <w:t>17</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演练牌</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个</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hint="eastAsia" w:eastAsia="仿宋"/>
                <w:kern w:val="0"/>
              </w:rPr>
              <w:t>18</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紧急冲淋洗眼器</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个</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hint="eastAsia" w:eastAsia="仿宋"/>
                <w:kern w:val="0"/>
              </w:rPr>
              <w:t>19</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室内消火栓</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个</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61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hint="eastAsia" w:eastAsia="仿宋"/>
                <w:kern w:val="0"/>
              </w:rPr>
              <w:t>20</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室外消火栓</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个</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hint="eastAsia" w:eastAsia="仿宋"/>
                <w:kern w:val="0"/>
              </w:rPr>
              <w:t>21</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4kg干粉灭火器</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具</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23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hint="eastAsia" w:eastAsia="仿宋"/>
                <w:kern w:val="0"/>
              </w:rPr>
              <w:t>22</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8kg干粉灭火器</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具</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52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hint="eastAsia" w:eastAsia="仿宋"/>
                <w:kern w:val="0"/>
              </w:rPr>
              <w:t>23</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35kg干粉灭火器</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具</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hint="eastAsia" w:eastAsia="仿宋"/>
                <w:kern w:val="0"/>
              </w:rPr>
              <w:t>24</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消火栓水泵接合器</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个</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hint="eastAsia" w:eastAsia="仿宋"/>
                <w:kern w:val="0"/>
              </w:rPr>
              <w:t>25</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喷淋水泵接合器</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个</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54" w:type="pct"/>
            <w:tcBorders>
              <w:tl2br w:val="nil"/>
              <w:tr2bl w:val="nil"/>
            </w:tcBorders>
            <w:noWrap/>
            <w:vAlign w:val="center"/>
          </w:tcPr>
          <w:p>
            <w:pPr>
              <w:widowControl/>
              <w:jc w:val="center"/>
              <w:rPr>
                <w:rFonts w:eastAsia="仿宋"/>
                <w:kern w:val="0"/>
              </w:rPr>
            </w:pPr>
            <w:r>
              <w:rPr>
                <w:rFonts w:hint="eastAsia" w:eastAsia="仿宋"/>
                <w:kern w:val="0"/>
              </w:rPr>
              <w:t>26</w:t>
            </w:r>
          </w:p>
        </w:tc>
        <w:tc>
          <w:tcPr>
            <w:tcW w:w="1843" w:type="pct"/>
            <w:tcBorders>
              <w:tl2br w:val="nil"/>
              <w:tr2bl w:val="nil"/>
            </w:tcBorders>
            <w:noWrap/>
            <w:vAlign w:val="center"/>
          </w:tcPr>
          <w:p>
            <w:pPr>
              <w:widowControl/>
              <w:jc w:val="center"/>
              <w:rPr>
                <w:rFonts w:eastAsia="仿宋"/>
                <w:kern w:val="0"/>
              </w:rPr>
            </w:pPr>
            <w:r>
              <w:rPr>
                <w:rFonts w:hint="eastAsia" w:eastAsia="仿宋"/>
                <w:kern w:val="0"/>
              </w:rPr>
              <w:t>5kg干粉灭火器</w:t>
            </w:r>
          </w:p>
        </w:tc>
        <w:tc>
          <w:tcPr>
            <w:tcW w:w="1146" w:type="pct"/>
            <w:tcBorders>
              <w:tl2br w:val="nil"/>
              <w:tr2bl w:val="nil"/>
            </w:tcBorders>
            <w:noWrap/>
            <w:vAlign w:val="center"/>
          </w:tcPr>
          <w:p>
            <w:pPr>
              <w:widowControl/>
              <w:jc w:val="center"/>
              <w:rPr>
                <w:rFonts w:eastAsia="仿宋"/>
                <w:kern w:val="0"/>
              </w:rPr>
            </w:pPr>
            <w:r>
              <w:rPr>
                <w:rFonts w:hint="eastAsia" w:eastAsia="仿宋"/>
                <w:kern w:val="0"/>
              </w:rPr>
              <w:t>具</w:t>
            </w:r>
          </w:p>
        </w:tc>
        <w:tc>
          <w:tcPr>
            <w:tcW w:w="1055" w:type="pct"/>
            <w:tcBorders>
              <w:tl2br w:val="nil"/>
              <w:tr2bl w:val="nil"/>
            </w:tcBorders>
            <w:noWrap/>
            <w:vAlign w:val="center"/>
          </w:tcPr>
          <w:p>
            <w:pPr>
              <w:widowControl/>
              <w:jc w:val="center"/>
              <w:rPr>
                <w:rFonts w:eastAsia="仿宋"/>
                <w:kern w:val="0"/>
              </w:rPr>
            </w:pPr>
            <w:r>
              <w:rPr>
                <w:rFonts w:hint="eastAsia" w:eastAsia="仿宋"/>
                <w:kern w:val="0"/>
              </w:rPr>
              <w:t>66</w:t>
            </w:r>
          </w:p>
        </w:tc>
      </w:tr>
    </w:tbl>
    <w:p>
      <w:pPr>
        <w:spacing w:line="520" w:lineRule="exact"/>
        <w:ind w:firstLine="560" w:firstLineChars="200"/>
        <w:rPr>
          <w:rFonts w:eastAsia="仿宋_GB2312"/>
          <w:bCs/>
          <w:sz w:val="28"/>
          <w:szCs w:val="28"/>
        </w:rPr>
      </w:pPr>
      <w:r>
        <w:rPr>
          <w:rFonts w:hint="eastAsia" w:eastAsia="仿宋_GB2312"/>
          <w:bCs/>
          <w:sz w:val="28"/>
          <w:szCs w:val="28"/>
        </w:rPr>
        <w:t>湖北航欧新材料科技有限公司位于宜昌市远安航天动力材料产业园（江北片区），可以依托园区及园区内企业的应急救援力量和物资。</w:t>
      </w:r>
    </w:p>
    <w:p>
      <w:pPr>
        <w:pStyle w:val="5"/>
        <w:spacing w:beforeLines="0" w:afterLines="0" w:line="520" w:lineRule="exact"/>
        <w:ind w:left="0" w:firstLine="0"/>
        <w:rPr>
          <w:rFonts w:eastAsia="仿宋"/>
        </w:rPr>
      </w:pPr>
      <w:r>
        <w:rPr>
          <w:rFonts w:hint="eastAsia"/>
          <w:color w:val="FF0000"/>
        </w:rPr>
        <w:br w:type="page"/>
      </w:r>
      <w:bookmarkEnd w:id="45"/>
      <w:bookmarkEnd w:id="46"/>
      <w:bookmarkEnd w:id="47"/>
      <w:bookmarkEnd w:id="48"/>
      <w:bookmarkStart w:id="59" w:name="_Toc7951"/>
      <w:bookmarkStart w:id="60" w:name="_Toc46843268"/>
      <w:r>
        <w:rPr>
          <w:rFonts w:hAnsi="仿宋" w:eastAsia="仿宋"/>
        </w:rPr>
        <w:t>预防与预警机制</w:t>
      </w:r>
      <w:bookmarkEnd w:id="59"/>
      <w:bookmarkEnd w:id="60"/>
    </w:p>
    <w:p>
      <w:pPr>
        <w:pStyle w:val="95"/>
        <w:spacing w:line="520" w:lineRule="exact"/>
        <w:ind w:firstLine="562"/>
        <w:jc w:val="both"/>
        <w:rPr>
          <w:rFonts w:eastAsia="仿宋"/>
          <w:b w:val="0"/>
          <w:bCs w:val="0"/>
          <w:sz w:val="28"/>
          <w:szCs w:val="28"/>
        </w:rPr>
      </w:pPr>
      <w:r>
        <w:rPr>
          <w:rFonts w:hAnsi="仿宋" w:eastAsia="仿宋"/>
          <w:b w:val="0"/>
          <w:bCs w:val="0"/>
          <w:sz w:val="28"/>
          <w:szCs w:val="28"/>
        </w:rPr>
        <w:t>依照</w:t>
      </w:r>
      <w:r>
        <w:rPr>
          <w:rFonts w:eastAsia="仿宋"/>
          <w:b w:val="0"/>
          <w:bCs w:val="0"/>
          <w:sz w:val="28"/>
          <w:szCs w:val="28"/>
        </w:rPr>
        <w:t>“</w:t>
      </w:r>
      <w:r>
        <w:rPr>
          <w:rFonts w:hAnsi="仿宋" w:eastAsia="仿宋"/>
          <w:b w:val="0"/>
          <w:bCs w:val="0"/>
          <w:sz w:val="28"/>
          <w:szCs w:val="28"/>
        </w:rPr>
        <w:t>早发现、早处置、早报告、早解决</w:t>
      </w:r>
      <w:r>
        <w:rPr>
          <w:rFonts w:eastAsia="仿宋"/>
          <w:b w:val="0"/>
          <w:bCs w:val="0"/>
          <w:sz w:val="28"/>
          <w:szCs w:val="28"/>
        </w:rPr>
        <w:t>”</w:t>
      </w:r>
      <w:r>
        <w:rPr>
          <w:rFonts w:hAnsi="仿宋" w:eastAsia="仿宋"/>
          <w:b w:val="0"/>
          <w:bCs w:val="0"/>
          <w:sz w:val="28"/>
          <w:szCs w:val="28"/>
        </w:rPr>
        <w:t>的原则，加强公司各岗位可能导致突发环境事件的风险源与风险因素进行监控和防范。</w:t>
      </w:r>
    </w:p>
    <w:p>
      <w:pPr>
        <w:pStyle w:val="6"/>
        <w:spacing w:before="0" w:beforeAutospacing="0" w:line="520" w:lineRule="exact"/>
        <w:ind w:left="0" w:firstLine="0"/>
        <w:rPr>
          <w:rFonts w:eastAsia="仿宋"/>
        </w:rPr>
      </w:pPr>
      <w:bookmarkStart w:id="61" w:name="_Toc16384"/>
      <w:bookmarkStart w:id="62" w:name="_Toc46843269"/>
      <w:bookmarkStart w:id="63" w:name="_Toc472856700"/>
      <w:r>
        <w:rPr>
          <w:rFonts w:hAnsi="仿宋" w:eastAsia="仿宋"/>
        </w:rPr>
        <w:t>风险源监控</w:t>
      </w:r>
      <w:bookmarkEnd w:id="61"/>
      <w:bookmarkEnd w:id="62"/>
      <w:bookmarkEnd w:id="63"/>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公司</w:t>
      </w:r>
      <w:r>
        <w:rPr>
          <w:rFonts w:hAnsi="仿宋" w:eastAsia="仿宋"/>
          <w:b w:val="0"/>
          <w:bCs w:val="0"/>
          <w:sz w:val="28"/>
          <w:szCs w:val="28"/>
        </w:rPr>
        <w:t>在</w:t>
      </w:r>
      <w:r>
        <w:rPr>
          <w:rFonts w:hint="eastAsia" w:hAnsi="仿宋" w:eastAsia="仿宋"/>
          <w:b w:val="0"/>
          <w:bCs w:val="0"/>
          <w:sz w:val="28"/>
          <w:szCs w:val="28"/>
        </w:rPr>
        <w:t>生产</w:t>
      </w:r>
      <w:r>
        <w:rPr>
          <w:rFonts w:hAnsi="仿宋" w:eastAsia="仿宋"/>
          <w:b w:val="0"/>
          <w:bCs w:val="0"/>
          <w:sz w:val="28"/>
          <w:szCs w:val="28"/>
        </w:rPr>
        <w:t>过程中存在着危险化学品的泄漏和有害物料的大量跑损等风险，有害气态物料的扩散或含有物料的消防水的泄漏扩散以及的污染防治设施事故等，会对周边水体、大气和生态造成污染或破坏，影响人体健康，并形成不良的社会影响。公司</w:t>
      </w:r>
      <w:r>
        <w:rPr>
          <w:rFonts w:hint="eastAsia" w:hAnsi="仿宋" w:eastAsia="仿宋"/>
          <w:b w:val="0"/>
          <w:bCs w:val="0"/>
          <w:sz w:val="28"/>
          <w:szCs w:val="28"/>
        </w:rPr>
        <w:t>应实行</w:t>
      </w:r>
      <w:r>
        <w:rPr>
          <w:rFonts w:hAnsi="仿宋" w:eastAsia="仿宋"/>
          <w:b w:val="0"/>
          <w:bCs w:val="0"/>
          <w:sz w:val="28"/>
          <w:szCs w:val="28"/>
        </w:rPr>
        <w:t>全天候</w:t>
      </w:r>
      <w:r>
        <w:rPr>
          <w:rFonts w:eastAsia="仿宋"/>
          <w:b w:val="0"/>
          <w:bCs w:val="0"/>
          <w:sz w:val="28"/>
          <w:szCs w:val="28"/>
        </w:rPr>
        <w:t>24</w:t>
      </w:r>
      <w:r>
        <w:rPr>
          <w:rFonts w:hAnsi="仿宋" w:eastAsia="仿宋"/>
          <w:b w:val="0"/>
          <w:bCs w:val="0"/>
          <w:sz w:val="28"/>
          <w:szCs w:val="28"/>
        </w:rPr>
        <w:t>小时值班制度，对厂区内可能引发火灾，泄漏、中毒危险源进行巡回检查。</w:t>
      </w:r>
    </w:p>
    <w:p>
      <w:pPr>
        <w:pStyle w:val="95"/>
        <w:spacing w:line="520" w:lineRule="exact"/>
        <w:ind w:firstLine="562"/>
        <w:jc w:val="both"/>
        <w:rPr>
          <w:rFonts w:hint="eastAsia" w:hAnsi="仿宋" w:eastAsia="仿宋"/>
          <w:b w:val="0"/>
          <w:bCs w:val="0"/>
          <w:color w:val="FF0000"/>
          <w:sz w:val="28"/>
          <w:szCs w:val="28"/>
        </w:rPr>
      </w:pPr>
      <w:r>
        <w:rPr>
          <w:rFonts w:hint="eastAsia" w:hAnsi="仿宋" w:eastAsia="仿宋"/>
          <w:b w:val="0"/>
          <w:bCs w:val="0"/>
          <w:color w:val="FF0000"/>
          <w:sz w:val="28"/>
          <w:szCs w:val="28"/>
          <w:lang w:eastAsia="zh-CN"/>
        </w:rPr>
        <w:t>企业</w:t>
      </w:r>
      <w:r>
        <w:rPr>
          <w:rFonts w:hint="eastAsia" w:hAnsi="仿宋" w:eastAsia="仿宋"/>
          <w:b w:val="0"/>
          <w:bCs w:val="0"/>
          <w:color w:val="FF0000"/>
          <w:sz w:val="28"/>
          <w:szCs w:val="28"/>
        </w:rPr>
        <w:t>设计遵循“技术先进、经济合理、运行可靠、操作方便”的原则，在提高企业自动化水平的前提下，充分考虑工艺流程的特性，中控室集中监控操作为主，部分现场仪表为辅的运行管理模式。现场远传信号通过仪表桥架及仪表电缆接入控制室，由厂区经培训取证后的技术管理人员对整个厂区的生产控制进行实时监控管理。控制室内有操作室、机柜间等布置，同时消防控制柜以及火灾报警系统等应急控制的设施也集中位于控制室内，便于生产管理人员集中控制管理。</w:t>
      </w:r>
    </w:p>
    <w:p>
      <w:pPr>
        <w:pStyle w:val="95"/>
        <w:spacing w:line="520" w:lineRule="exact"/>
        <w:ind w:firstLine="562"/>
        <w:jc w:val="both"/>
        <w:rPr>
          <w:rFonts w:hint="eastAsia" w:hAnsi="仿宋" w:eastAsia="仿宋"/>
          <w:b w:val="0"/>
          <w:bCs w:val="0"/>
          <w:color w:val="FF0000"/>
          <w:sz w:val="28"/>
          <w:szCs w:val="28"/>
        </w:rPr>
      </w:pPr>
      <w:r>
        <w:rPr>
          <w:rFonts w:hint="eastAsia" w:hAnsi="仿宋" w:eastAsia="仿宋"/>
          <w:b w:val="0"/>
          <w:bCs w:val="0"/>
          <w:color w:val="FF0000"/>
          <w:sz w:val="28"/>
          <w:szCs w:val="28"/>
        </w:rPr>
        <w:t>气体报警控制系统采用独立的GDS 系统（由探测器设备供货商成套供应），安装在操作人员常驻的中控室，GDS 系统设置单独的操作站完成报警和控制功能。探测器仪表电缆沿仪表桥架敷设，将 4～20mA 远传信号接入中控室，可以在操作站上显示探测器的探测位置以及工作状态。可燃有毒气体检测系统设置二段报警：当可燃性气体达到 25%LEL（最小爆炸下限）或有毒气体达到 100%OEL（职业接触限值）时，报警系统提供声光报警，提示操作人员及时前往现场巡检；当可燃性气体达到 50%LEL（最小爆炸下限）或有毒气体达到 200%OEL（职业接触限值）时，报警系统在提供声光报警的同时提示操作人员采取紧急措施（如紧急疏散现场操作人员、控制器联锁启动对应事故风机等）防止造成事故。</w:t>
      </w:r>
    </w:p>
    <w:p>
      <w:pPr>
        <w:pStyle w:val="95"/>
        <w:spacing w:line="520" w:lineRule="exact"/>
        <w:ind w:firstLine="562"/>
        <w:jc w:val="both"/>
        <w:rPr>
          <w:rFonts w:hAnsi="仿宋" w:eastAsia="仿宋"/>
          <w:b w:val="0"/>
          <w:bCs w:val="0"/>
          <w:color w:val="FF0000"/>
          <w:sz w:val="28"/>
          <w:szCs w:val="28"/>
        </w:rPr>
      </w:pPr>
      <w:r>
        <w:rPr>
          <w:rFonts w:hint="eastAsia" w:hAnsi="仿宋" w:eastAsia="仿宋"/>
          <w:b w:val="0"/>
          <w:bCs w:val="0"/>
          <w:color w:val="FF0000"/>
          <w:sz w:val="28"/>
          <w:szCs w:val="28"/>
        </w:rPr>
        <w:t>GDS 系统具备输出开关量功能，可为所需联动保护设备提供信号接点，可燃气体二级报警信号、可燃气体和有毒气体检测报警系统报警控制单元的故障信号送至消防中控室进行图形显示和报警。</w:t>
      </w:r>
      <w:r>
        <w:rPr>
          <w:rFonts w:hint="eastAsia" w:hAnsi="仿宋" w:eastAsia="仿宋"/>
          <w:b w:val="0"/>
          <w:bCs w:val="0"/>
          <w:color w:val="FF0000"/>
          <w:sz w:val="28"/>
          <w:szCs w:val="28"/>
          <w:lang w:eastAsia="zh-CN"/>
        </w:rPr>
        <w:t>企业</w:t>
      </w:r>
      <w:r>
        <w:rPr>
          <w:rFonts w:hint="eastAsia" w:hAnsi="仿宋" w:eastAsia="仿宋"/>
          <w:b w:val="0"/>
          <w:bCs w:val="0"/>
          <w:color w:val="FF0000"/>
          <w:sz w:val="28"/>
          <w:szCs w:val="28"/>
        </w:rPr>
        <w:t>另配置便携式气体检测报警仪 2 台用于操作人员巡回检查或检修时检测操作环境中的气体浓度。</w:t>
      </w:r>
    </w:p>
    <w:p>
      <w:pPr>
        <w:pStyle w:val="6"/>
        <w:spacing w:before="0" w:beforeAutospacing="0" w:line="520" w:lineRule="exact"/>
        <w:ind w:left="0" w:firstLine="0"/>
        <w:rPr>
          <w:rFonts w:eastAsia="仿宋"/>
        </w:rPr>
      </w:pPr>
      <w:bookmarkStart w:id="64" w:name="_Toc27478"/>
      <w:bookmarkStart w:id="65" w:name="_Toc46843270"/>
      <w:bookmarkStart w:id="66" w:name="_Toc472856701"/>
      <w:r>
        <w:rPr>
          <w:rFonts w:hAnsi="仿宋" w:eastAsia="仿宋"/>
        </w:rPr>
        <w:t>环境风险防范措施</w:t>
      </w:r>
      <w:bookmarkEnd w:id="64"/>
      <w:bookmarkEnd w:id="65"/>
      <w:bookmarkEnd w:id="66"/>
    </w:p>
    <w:p>
      <w:pPr>
        <w:pStyle w:val="8"/>
        <w:tabs>
          <w:tab w:val="clear" w:pos="425"/>
        </w:tabs>
        <w:spacing w:line="520" w:lineRule="exact"/>
        <w:ind w:left="0" w:firstLine="0"/>
        <w:rPr>
          <w:rFonts w:eastAsia="仿宋"/>
          <w:sz w:val="28"/>
          <w:szCs w:val="28"/>
        </w:rPr>
      </w:pPr>
      <w:r>
        <w:rPr>
          <w:rFonts w:hAnsi="仿宋" w:eastAsia="仿宋"/>
          <w:sz w:val="28"/>
          <w:szCs w:val="28"/>
        </w:rPr>
        <w:t>总图布置和建筑安全防范措施</w:t>
      </w:r>
    </w:p>
    <w:p>
      <w:pPr>
        <w:pStyle w:val="95"/>
        <w:spacing w:line="520" w:lineRule="exact"/>
        <w:ind w:firstLine="562"/>
        <w:rPr>
          <w:rFonts w:eastAsia="仿宋"/>
          <w:b w:val="0"/>
          <w:bCs w:val="0"/>
          <w:sz w:val="28"/>
          <w:szCs w:val="28"/>
        </w:rPr>
      </w:pPr>
      <w:r>
        <w:rPr>
          <w:rFonts w:hAnsi="仿宋" w:eastAsia="仿宋"/>
          <w:b w:val="0"/>
          <w:bCs w:val="0"/>
          <w:sz w:val="28"/>
          <w:szCs w:val="28"/>
        </w:rPr>
        <w:t>严格执行国家有关部门现行的设计规范、规定及标准。各</w:t>
      </w:r>
      <w:r>
        <w:rPr>
          <w:rFonts w:hint="eastAsia" w:hAnsi="仿宋" w:eastAsia="仿宋"/>
          <w:b w:val="0"/>
          <w:bCs w:val="0"/>
          <w:sz w:val="28"/>
          <w:szCs w:val="28"/>
        </w:rPr>
        <w:t>储存</w:t>
      </w:r>
      <w:r>
        <w:rPr>
          <w:rFonts w:hAnsi="仿宋" w:eastAsia="仿宋"/>
          <w:b w:val="0"/>
          <w:bCs w:val="0"/>
          <w:sz w:val="28"/>
          <w:szCs w:val="28"/>
        </w:rPr>
        <w:t>装置之间严格按防火防爆间距布置，厂房及建筑物按规定等级设计，高温明火的设备尽可能远离散发可燃气体的场所。</w:t>
      </w:r>
    </w:p>
    <w:p>
      <w:pPr>
        <w:pStyle w:val="95"/>
        <w:spacing w:line="520" w:lineRule="exact"/>
        <w:ind w:firstLine="562"/>
        <w:rPr>
          <w:rFonts w:eastAsia="仿宋"/>
          <w:b w:val="0"/>
          <w:bCs w:val="0"/>
          <w:sz w:val="28"/>
          <w:szCs w:val="28"/>
        </w:rPr>
      </w:pPr>
      <w:r>
        <w:rPr>
          <w:rFonts w:hAnsi="仿宋" w:eastAsia="仿宋"/>
          <w:b w:val="0"/>
          <w:bCs w:val="0"/>
          <w:sz w:val="28"/>
          <w:szCs w:val="28"/>
        </w:rPr>
        <w:t>根据</w:t>
      </w:r>
      <w:r>
        <w:rPr>
          <w:rFonts w:hint="eastAsia" w:hAnsi="仿宋" w:eastAsia="仿宋"/>
          <w:b w:val="0"/>
          <w:bCs w:val="0"/>
          <w:sz w:val="28"/>
          <w:szCs w:val="28"/>
        </w:rPr>
        <w:t>生产</w:t>
      </w:r>
      <w:r>
        <w:rPr>
          <w:rFonts w:hAnsi="仿宋" w:eastAsia="仿宋"/>
          <w:b w:val="0"/>
          <w:bCs w:val="0"/>
          <w:sz w:val="28"/>
          <w:szCs w:val="28"/>
        </w:rPr>
        <w:t>过程中火灾、爆炸危险等级及毒物危害程度分级进行分类、分区布置。合理划分管理区、</w:t>
      </w:r>
      <w:r>
        <w:rPr>
          <w:rFonts w:hint="eastAsia" w:hAnsi="仿宋" w:eastAsia="仿宋"/>
          <w:b w:val="0"/>
          <w:bCs w:val="0"/>
          <w:sz w:val="28"/>
          <w:szCs w:val="28"/>
        </w:rPr>
        <w:t>储罐区</w:t>
      </w:r>
      <w:r>
        <w:rPr>
          <w:rFonts w:hAnsi="仿宋" w:eastAsia="仿宋"/>
          <w:b w:val="0"/>
          <w:bCs w:val="0"/>
          <w:sz w:val="28"/>
          <w:szCs w:val="28"/>
        </w:rPr>
        <w:t>、</w:t>
      </w:r>
      <w:r>
        <w:rPr>
          <w:rFonts w:hint="eastAsia" w:hAnsi="仿宋" w:eastAsia="仿宋"/>
          <w:b w:val="0"/>
          <w:bCs w:val="0"/>
          <w:sz w:val="28"/>
          <w:szCs w:val="28"/>
        </w:rPr>
        <w:t>危废暂存间</w:t>
      </w:r>
      <w:r>
        <w:rPr>
          <w:rFonts w:hAnsi="仿宋" w:eastAsia="仿宋"/>
          <w:b w:val="0"/>
          <w:bCs w:val="0"/>
          <w:sz w:val="28"/>
          <w:szCs w:val="28"/>
        </w:rPr>
        <w:t>及储运设施区，按危害程度采取相应的安全防范措施进行管理。</w:t>
      </w:r>
    </w:p>
    <w:p>
      <w:pPr>
        <w:pStyle w:val="95"/>
        <w:spacing w:line="520" w:lineRule="exact"/>
        <w:ind w:firstLine="562"/>
        <w:rPr>
          <w:rFonts w:eastAsia="仿宋"/>
          <w:b w:val="0"/>
          <w:bCs w:val="0"/>
          <w:sz w:val="28"/>
          <w:szCs w:val="28"/>
        </w:rPr>
      </w:pPr>
      <w:r>
        <w:rPr>
          <w:rFonts w:hAnsi="仿宋" w:eastAsia="仿宋"/>
          <w:b w:val="0"/>
          <w:bCs w:val="0"/>
          <w:sz w:val="28"/>
          <w:szCs w:val="28"/>
        </w:rPr>
        <w:t>合理组织人流和货流，结合交通、消防的需要，装置区周围设置环形消防道，以满足工艺流程、厂内外运输、检修及生产管理的要求。</w:t>
      </w:r>
    </w:p>
    <w:p>
      <w:pPr>
        <w:pStyle w:val="8"/>
        <w:tabs>
          <w:tab w:val="clear" w:pos="425"/>
        </w:tabs>
        <w:spacing w:line="520" w:lineRule="exact"/>
        <w:ind w:left="0" w:firstLine="0"/>
        <w:rPr>
          <w:rFonts w:eastAsia="仿宋"/>
          <w:sz w:val="28"/>
          <w:szCs w:val="28"/>
        </w:rPr>
      </w:pPr>
      <w:bookmarkStart w:id="67" w:name="_Hlk73919595"/>
      <w:r>
        <w:rPr>
          <w:rFonts w:hAnsi="仿宋" w:eastAsia="仿宋"/>
          <w:sz w:val="28"/>
          <w:szCs w:val="28"/>
        </w:rPr>
        <w:t>工程风险防范措施</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1</w:t>
      </w:r>
      <w:r>
        <w:rPr>
          <w:rFonts w:hAnsi="仿宋" w:eastAsia="仿宋"/>
          <w:b w:val="0"/>
          <w:bCs w:val="0"/>
          <w:sz w:val="28"/>
          <w:szCs w:val="28"/>
        </w:rPr>
        <w:t>）加强环保和安全生产管理</w:t>
      </w:r>
    </w:p>
    <w:p>
      <w:pPr>
        <w:pStyle w:val="95"/>
        <w:spacing w:line="520" w:lineRule="exact"/>
        <w:ind w:firstLine="562"/>
        <w:rPr>
          <w:rFonts w:eastAsia="仿宋"/>
          <w:b w:val="0"/>
          <w:bCs w:val="0"/>
          <w:sz w:val="28"/>
          <w:szCs w:val="28"/>
        </w:rPr>
      </w:pPr>
      <w:r>
        <w:rPr>
          <w:rFonts w:hint="eastAsia" w:hAnsi="仿宋" w:eastAsia="仿宋"/>
          <w:b w:val="0"/>
          <w:bCs w:val="0"/>
          <w:sz w:val="28"/>
          <w:szCs w:val="28"/>
        </w:rPr>
        <w:t>公司</w:t>
      </w:r>
      <w:r>
        <w:rPr>
          <w:rFonts w:hAnsi="仿宋" w:eastAsia="仿宋"/>
          <w:b w:val="0"/>
          <w:bCs w:val="0"/>
          <w:sz w:val="28"/>
          <w:szCs w:val="28"/>
        </w:rPr>
        <w:t>领导要把安全生产、防范事故工作放在第一位，严格安全生产管理，经常检查安全生产措施，发现问题及时解决，消除事故隐患；厂内应设置突发事故处理领导小组，应由</w:t>
      </w:r>
      <w:r>
        <w:rPr>
          <w:rFonts w:eastAsia="仿宋"/>
          <w:b w:val="0"/>
          <w:bCs w:val="0"/>
          <w:sz w:val="28"/>
          <w:szCs w:val="28"/>
        </w:rPr>
        <w:t>1</w:t>
      </w:r>
      <w:r>
        <w:rPr>
          <w:rFonts w:hAnsi="仿宋" w:eastAsia="仿宋"/>
          <w:b w:val="0"/>
          <w:bCs w:val="0"/>
          <w:sz w:val="28"/>
          <w:szCs w:val="28"/>
        </w:rPr>
        <w:t>名</w:t>
      </w:r>
      <w:r>
        <w:rPr>
          <w:rFonts w:hint="eastAsia" w:hAnsi="仿宋" w:eastAsia="仿宋"/>
          <w:b w:val="0"/>
          <w:bCs w:val="0"/>
          <w:sz w:val="28"/>
          <w:szCs w:val="28"/>
        </w:rPr>
        <w:t>公司</w:t>
      </w:r>
      <w:r>
        <w:rPr>
          <w:rFonts w:hAnsi="仿宋" w:eastAsia="仿宋"/>
          <w:b w:val="0"/>
          <w:bCs w:val="0"/>
          <w:sz w:val="28"/>
          <w:szCs w:val="28"/>
        </w:rPr>
        <w:t>领导负责。</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2</w:t>
      </w:r>
      <w:r>
        <w:rPr>
          <w:rFonts w:hAnsi="仿宋" w:eastAsia="仿宋"/>
          <w:b w:val="0"/>
          <w:bCs w:val="0"/>
          <w:sz w:val="28"/>
          <w:szCs w:val="28"/>
        </w:rPr>
        <w:t>）加强岗位培训，落实安全生产责任制</w:t>
      </w:r>
    </w:p>
    <w:p>
      <w:pPr>
        <w:pStyle w:val="95"/>
        <w:spacing w:line="520" w:lineRule="exact"/>
        <w:ind w:firstLine="562"/>
        <w:jc w:val="both"/>
        <w:rPr>
          <w:rFonts w:eastAsia="仿宋"/>
          <w:b w:val="0"/>
          <w:bCs w:val="0"/>
          <w:sz w:val="28"/>
          <w:szCs w:val="28"/>
        </w:rPr>
      </w:pPr>
      <w:r>
        <w:rPr>
          <w:rFonts w:hAnsi="仿宋" w:eastAsia="仿宋"/>
          <w:b w:val="0"/>
          <w:bCs w:val="0"/>
          <w:sz w:val="28"/>
          <w:szCs w:val="28"/>
        </w:rPr>
        <w:t>强化操作人员的安全培训教育，增强全体职工的责任感。操作人员应熟记各种</w:t>
      </w:r>
      <w:r>
        <w:rPr>
          <w:rFonts w:hint="eastAsia" w:hAnsi="仿宋" w:eastAsia="仿宋"/>
          <w:b w:val="0"/>
          <w:bCs w:val="0"/>
          <w:sz w:val="28"/>
          <w:szCs w:val="28"/>
        </w:rPr>
        <w:t>操作步骤</w:t>
      </w:r>
      <w:r>
        <w:rPr>
          <w:rFonts w:hAnsi="仿宋" w:eastAsia="仿宋"/>
          <w:b w:val="0"/>
          <w:bCs w:val="0"/>
          <w:sz w:val="28"/>
          <w:szCs w:val="28"/>
        </w:rPr>
        <w:t>及发生事故时应急处理措施。项目建成投产后，应加大对各</w:t>
      </w:r>
      <w:r>
        <w:rPr>
          <w:rFonts w:hint="eastAsia" w:hAnsi="仿宋" w:eastAsia="仿宋"/>
          <w:b w:val="0"/>
          <w:bCs w:val="0"/>
          <w:sz w:val="28"/>
          <w:szCs w:val="28"/>
        </w:rPr>
        <w:t>储罐</w:t>
      </w:r>
      <w:r>
        <w:rPr>
          <w:rFonts w:hAnsi="仿宋" w:eastAsia="仿宋"/>
          <w:b w:val="0"/>
          <w:bCs w:val="0"/>
          <w:sz w:val="28"/>
          <w:szCs w:val="28"/>
        </w:rPr>
        <w:t>，特别是危险化学品贮存设施等事故易发生处的安全生产管理工作，贯彻</w:t>
      </w:r>
      <w:r>
        <w:rPr>
          <w:rFonts w:eastAsia="仿宋"/>
          <w:b w:val="0"/>
          <w:bCs w:val="0"/>
          <w:sz w:val="28"/>
          <w:szCs w:val="28"/>
        </w:rPr>
        <w:t>“</w:t>
      </w:r>
      <w:r>
        <w:rPr>
          <w:rFonts w:hAnsi="仿宋" w:eastAsia="仿宋"/>
          <w:b w:val="0"/>
          <w:bCs w:val="0"/>
          <w:sz w:val="28"/>
          <w:szCs w:val="28"/>
        </w:rPr>
        <w:t>分级管理、分级负责</w:t>
      </w:r>
      <w:r>
        <w:rPr>
          <w:rFonts w:eastAsia="仿宋"/>
          <w:b w:val="0"/>
          <w:bCs w:val="0"/>
          <w:sz w:val="28"/>
          <w:szCs w:val="28"/>
        </w:rPr>
        <w:t>”</w:t>
      </w:r>
      <w:r>
        <w:rPr>
          <w:rFonts w:hAnsi="仿宋" w:eastAsia="仿宋"/>
          <w:b w:val="0"/>
          <w:bCs w:val="0"/>
          <w:sz w:val="28"/>
          <w:szCs w:val="28"/>
        </w:rPr>
        <w:t>的原则，充分估计事故发生的可能性，制定应急处理措施。</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3</w:t>
      </w:r>
      <w:r>
        <w:rPr>
          <w:rFonts w:hAnsi="仿宋" w:eastAsia="仿宋"/>
          <w:b w:val="0"/>
          <w:bCs w:val="0"/>
          <w:sz w:val="28"/>
          <w:szCs w:val="28"/>
        </w:rPr>
        <w:t>）建立一支业务技术过硬的抢救队伍（包括消防、维修等），以备在事故发生时能及时、有效地发挥作用。</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4</w:t>
      </w:r>
      <w:r>
        <w:rPr>
          <w:rFonts w:hAnsi="仿宋" w:eastAsia="仿宋"/>
          <w:b w:val="0"/>
          <w:bCs w:val="0"/>
          <w:sz w:val="28"/>
          <w:szCs w:val="28"/>
        </w:rPr>
        <w:t>）制定严密的事故防范措施及应急预案。</w:t>
      </w:r>
    </w:p>
    <w:bookmarkEnd w:id="67"/>
    <w:p>
      <w:pPr>
        <w:pStyle w:val="8"/>
        <w:tabs>
          <w:tab w:val="clear" w:pos="425"/>
        </w:tabs>
        <w:spacing w:line="520" w:lineRule="exact"/>
        <w:ind w:left="0" w:firstLine="0"/>
        <w:rPr>
          <w:rFonts w:eastAsia="仿宋"/>
          <w:sz w:val="28"/>
          <w:szCs w:val="28"/>
        </w:rPr>
      </w:pPr>
      <w:bookmarkStart w:id="68" w:name="_Hlk73919720"/>
      <w:r>
        <w:rPr>
          <w:rFonts w:hAnsi="仿宋" w:eastAsia="仿宋"/>
          <w:sz w:val="28"/>
          <w:szCs w:val="28"/>
        </w:rPr>
        <w:t>火灾、爆炸安全控制措施</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1</w:t>
      </w:r>
      <w:r>
        <w:rPr>
          <w:rFonts w:hAnsi="仿宋" w:eastAsia="仿宋"/>
          <w:b w:val="0"/>
          <w:bCs w:val="0"/>
          <w:sz w:val="28"/>
          <w:szCs w:val="28"/>
        </w:rPr>
        <w:t>）由于项目具有潜在的环境风险性，且一旦发生风险事故，后果较为严重，因此项目运营必须进行科学规划、合理布置、严格执行国家的安全设计规范，保证施工质量，严格安全生产制度，严格管理，提高操作人员的素质和水平，避免或减少事故的发生。</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2</w:t>
      </w:r>
      <w:r>
        <w:rPr>
          <w:rFonts w:hAnsi="仿宋" w:eastAsia="仿宋"/>
          <w:b w:val="0"/>
          <w:bCs w:val="0"/>
          <w:sz w:val="28"/>
          <w:szCs w:val="28"/>
        </w:rPr>
        <w:t>）严格执行国家有关部门现行的设计规范、规定及标准。项目</w:t>
      </w:r>
      <w:r>
        <w:rPr>
          <w:rFonts w:hint="eastAsia" w:hAnsi="仿宋" w:eastAsia="仿宋"/>
          <w:b w:val="0"/>
          <w:bCs w:val="0"/>
          <w:sz w:val="28"/>
          <w:szCs w:val="28"/>
        </w:rPr>
        <w:t>采用的收集、贮存和转运等操作</w:t>
      </w:r>
      <w:r>
        <w:rPr>
          <w:rFonts w:hAnsi="仿宋" w:eastAsia="仿宋"/>
          <w:b w:val="0"/>
          <w:bCs w:val="0"/>
          <w:sz w:val="28"/>
          <w:szCs w:val="28"/>
        </w:rPr>
        <w:t>大都在国内有广泛应用，有多年成功运行的经验，技术成熟可靠，</w:t>
      </w:r>
      <w:r>
        <w:rPr>
          <w:rFonts w:hint="eastAsia" w:hAnsi="仿宋" w:eastAsia="仿宋"/>
          <w:b w:val="0"/>
          <w:bCs w:val="0"/>
          <w:sz w:val="28"/>
          <w:szCs w:val="28"/>
        </w:rPr>
        <w:t>收集、贮存和转运等</w:t>
      </w:r>
      <w:r>
        <w:rPr>
          <w:rFonts w:hAnsi="仿宋" w:eastAsia="仿宋"/>
          <w:b w:val="0"/>
          <w:bCs w:val="0"/>
          <w:sz w:val="28"/>
          <w:szCs w:val="28"/>
        </w:rPr>
        <w:t>方案本身不会引起事故风险，因此，只要严格执行《建筑设计防火规范》、《石油化工企业设计防火规范》、《储罐区防火堤设计规范》、《化工企业爆炸和火灾危害环境电力设计规程》、《建筑防雷设计规范》、《化工企业静电接地设计规程》、《工业企业设计卫生标准》、《生产过程安全卫生要求总则》、《生产设备安全卫生设计总则》等标准规范，各</w:t>
      </w:r>
      <w:r>
        <w:rPr>
          <w:rFonts w:hint="eastAsia" w:hAnsi="仿宋" w:eastAsia="仿宋"/>
          <w:b w:val="0"/>
          <w:bCs w:val="0"/>
          <w:sz w:val="28"/>
          <w:szCs w:val="28"/>
        </w:rPr>
        <w:t>储罐</w:t>
      </w:r>
      <w:r>
        <w:rPr>
          <w:rFonts w:hAnsi="仿宋" w:eastAsia="仿宋"/>
          <w:b w:val="0"/>
          <w:bCs w:val="0"/>
          <w:sz w:val="28"/>
          <w:szCs w:val="28"/>
        </w:rPr>
        <w:t>之间严格控制防火防爆间距，厂房及建筑物满足防火防爆的规定等级。</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3</w:t>
      </w:r>
      <w:r>
        <w:rPr>
          <w:rFonts w:hAnsi="仿宋" w:eastAsia="仿宋"/>
          <w:b w:val="0"/>
          <w:bCs w:val="0"/>
          <w:sz w:val="28"/>
          <w:szCs w:val="28"/>
        </w:rPr>
        <w:t>）加强岗位和安全培训教育，落实安全生产责任制，严格按操作规程执行。</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4</w:t>
      </w:r>
      <w:r>
        <w:rPr>
          <w:rFonts w:hAnsi="仿宋" w:eastAsia="仿宋"/>
          <w:b w:val="0"/>
          <w:bCs w:val="0"/>
          <w:sz w:val="28"/>
          <w:szCs w:val="28"/>
        </w:rPr>
        <w:t>）设备和工艺管道上设置必要的防爆装置、安全阀等；针对车间物料、装置情况配备各种对应的消防器材，如消防栓、灭火器、化学干粉、防毒面具、氧气呼吸器、防护眼镜等。</w:t>
      </w:r>
    </w:p>
    <w:p>
      <w:pPr>
        <w:pStyle w:val="95"/>
        <w:spacing w:line="520" w:lineRule="exact"/>
        <w:ind w:firstLine="562"/>
        <w:rPr>
          <w:rFonts w:eastAsia="仿宋"/>
          <w:sz w:val="28"/>
          <w:szCs w:val="28"/>
        </w:rPr>
      </w:pPr>
      <w:r>
        <w:rPr>
          <w:rFonts w:hAnsi="仿宋" w:eastAsia="仿宋"/>
          <w:b w:val="0"/>
          <w:bCs w:val="0"/>
          <w:sz w:val="28"/>
          <w:szCs w:val="28"/>
        </w:rPr>
        <w:t>（</w:t>
      </w:r>
      <w:r>
        <w:rPr>
          <w:rFonts w:eastAsia="仿宋"/>
          <w:b w:val="0"/>
          <w:bCs w:val="0"/>
          <w:sz w:val="28"/>
          <w:szCs w:val="28"/>
        </w:rPr>
        <w:t>5</w:t>
      </w:r>
      <w:r>
        <w:rPr>
          <w:rFonts w:hAnsi="仿宋" w:eastAsia="仿宋"/>
          <w:b w:val="0"/>
          <w:bCs w:val="0"/>
          <w:sz w:val="28"/>
          <w:szCs w:val="28"/>
        </w:rPr>
        <w:t>）安装必要的避雷装置，高层建、构筑物、高设备及</w:t>
      </w:r>
      <w:r>
        <w:rPr>
          <w:rFonts w:hint="eastAsia" w:hAnsi="仿宋" w:eastAsia="仿宋"/>
          <w:b w:val="0"/>
          <w:bCs w:val="0"/>
          <w:sz w:val="28"/>
          <w:szCs w:val="28"/>
        </w:rPr>
        <w:t>储罐</w:t>
      </w:r>
      <w:r>
        <w:rPr>
          <w:rFonts w:hAnsi="仿宋" w:eastAsia="仿宋"/>
          <w:b w:val="0"/>
          <w:bCs w:val="0"/>
          <w:sz w:val="28"/>
          <w:szCs w:val="28"/>
        </w:rPr>
        <w:t>区都应有避雷措施。</w:t>
      </w:r>
    </w:p>
    <w:bookmarkEnd w:id="68"/>
    <w:p>
      <w:pPr>
        <w:pStyle w:val="8"/>
        <w:tabs>
          <w:tab w:val="clear" w:pos="425"/>
        </w:tabs>
        <w:spacing w:line="520" w:lineRule="exact"/>
        <w:ind w:left="0" w:firstLine="0"/>
        <w:rPr>
          <w:rFonts w:eastAsia="仿宋"/>
          <w:sz w:val="28"/>
          <w:szCs w:val="28"/>
        </w:rPr>
      </w:pPr>
      <w:r>
        <w:rPr>
          <w:rFonts w:hAnsi="仿宋" w:eastAsia="仿宋"/>
          <w:sz w:val="28"/>
          <w:szCs w:val="28"/>
        </w:rPr>
        <w:t>泄漏事故风险防范措施</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1</w:t>
      </w:r>
      <w:r>
        <w:rPr>
          <w:rFonts w:hAnsi="仿宋" w:eastAsia="仿宋"/>
          <w:b w:val="0"/>
          <w:bCs w:val="0"/>
          <w:sz w:val="28"/>
          <w:szCs w:val="28"/>
        </w:rPr>
        <w:t>）加强设备管理。认真做好设备、管道、阀门的检查工作，对存在安全隐患的设备、管道、阀门要及时进行修理或更换。</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2</w:t>
      </w:r>
      <w:r>
        <w:rPr>
          <w:rFonts w:hAnsi="仿宋" w:eastAsia="仿宋"/>
          <w:b w:val="0"/>
          <w:bCs w:val="0"/>
          <w:sz w:val="28"/>
          <w:szCs w:val="28"/>
        </w:rPr>
        <w:t>）加强生产管理。严格按照操作规程作业，严格执行</w:t>
      </w:r>
      <w:r>
        <w:rPr>
          <w:rFonts w:eastAsia="仿宋"/>
          <w:b w:val="0"/>
          <w:bCs w:val="0"/>
          <w:sz w:val="28"/>
          <w:szCs w:val="28"/>
        </w:rPr>
        <w:t>24</w:t>
      </w:r>
      <w:r>
        <w:rPr>
          <w:rFonts w:hAnsi="仿宋" w:eastAsia="仿宋"/>
          <w:b w:val="0"/>
          <w:bCs w:val="0"/>
          <w:sz w:val="28"/>
          <w:szCs w:val="28"/>
        </w:rPr>
        <w:t>小时值班制度和巡回检查制度，及时发现并向有关部门通报，并及时解决不安全因素。</w:t>
      </w:r>
    </w:p>
    <w:p>
      <w:pPr>
        <w:pStyle w:val="8"/>
        <w:tabs>
          <w:tab w:val="clear" w:pos="425"/>
        </w:tabs>
        <w:spacing w:line="520" w:lineRule="exact"/>
        <w:ind w:left="0" w:firstLine="0"/>
        <w:rPr>
          <w:rFonts w:eastAsia="仿宋"/>
          <w:sz w:val="28"/>
          <w:szCs w:val="28"/>
        </w:rPr>
      </w:pPr>
      <w:r>
        <w:rPr>
          <w:rFonts w:hAnsi="仿宋" w:eastAsia="仿宋"/>
          <w:sz w:val="28"/>
          <w:szCs w:val="28"/>
        </w:rPr>
        <w:t>其他危险化学品贮存安全防范措施</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1</w:t>
      </w:r>
      <w:r>
        <w:rPr>
          <w:rFonts w:hAnsi="仿宋" w:eastAsia="仿宋"/>
          <w:b w:val="0"/>
          <w:bCs w:val="0"/>
          <w:sz w:val="28"/>
          <w:szCs w:val="28"/>
        </w:rPr>
        <w:t>）贮存设备、贮存方式要符合国家标准。</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2</w:t>
      </w:r>
      <w:r>
        <w:rPr>
          <w:rFonts w:hAnsi="仿宋" w:eastAsia="仿宋"/>
          <w:b w:val="0"/>
          <w:bCs w:val="0"/>
          <w:sz w:val="28"/>
          <w:szCs w:val="28"/>
        </w:rPr>
        <w:t>）每年进行一次对贮存装置的安全年检，对存在的安全问题提出整改方案，如发现贮存装置存在现实危险的，应当立即停止使用，予以更换或者修复，并采取相应安全措施。</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3</w:t>
      </w:r>
      <w:r>
        <w:rPr>
          <w:rFonts w:hAnsi="仿宋" w:eastAsia="仿宋"/>
          <w:b w:val="0"/>
          <w:bCs w:val="0"/>
          <w:sz w:val="28"/>
          <w:szCs w:val="28"/>
        </w:rPr>
        <w:t>）危险化学品必须贮存在符合国家标准要求、设置明显标志的专用仓库，由专人管理。</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4</w:t>
      </w:r>
      <w:r>
        <w:rPr>
          <w:rFonts w:hAnsi="仿宋" w:eastAsia="仿宋"/>
          <w:b w:val="0"/>
          <w:bCs w:val="0"/>
          <w:sz w:val="28"/>
          <w:szCs w:val="28"/>
        </w:rPr>
        <w:t>）一旦发生事故，应尽量收集转移泄漏的化学品。被污染的消防水应收集进入废水处理系统处理。</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5</w:t>
      </w:r>
      <w:r>
        <w:rPr>
          <w:rFonts w:hAnsi="仿宋" w:eastAsia="仿宋"/>
          <w:b w:val="0"/>
          <w:bCs w:val="0"/>
          <w:sz w:val="28"/>
          <w:szCs w:val="28"/>
        </w:rPr>
        <w:t>）管线采用较高的管道设计等级，较高的腐蚀裕量。除必要的阀门及仪表等，尽量减少法兰接头，以减少泄漏机会。</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6</w:t>
      </w:r>
      <w:r>
        <w:rPr>
          <w:rFonts w:hAnsi="仿宋" w:eastAsia="仿宋"/>
          <w:b w:val="0"/>
          <w:bCs w:val="0"/>
          <w:sz w:val="28"/>
          <w:szCs w:val="28"/>
        </w:rPr>
        <w:t>）储罐区设立警示牌标识，禁止人为火源、禁止使用产生火花的工具。</w:t>
      </w:r>
    </w:p>
    <w:p>
      <w:pPr>
        <w:pStyle w:val="8"/>
        <w:tabs>
          <w:tab w:val="clear" w:pos="425"/>
        </w:tabs>
        <w:spacing w:line="520" w:lineRule="exact"/>
        <w:ind w:left="0" w:firstLine="0"/>
        <w:rPr>
          <w:rFonts w:eastAsia="仿宋"/>
          <w:sz w:val="28"/>
          <w:szCs w:val="28"/>
        </w:rPr>
      </w:pPr>
      <w:r>
        <w:rPr>
          <w:rFonts w:hAnsi="仿宋" w:eastAsia="仿宋"/>
          <w:sz w:val="28"/>
          <w:szCs w:val="28"/>
        </w:rPr>
        <w:t>危险化学品运输事故风险防范措施</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1</w:t>
      </w:r>
      <w:r>
        <w:rPr>
          <w:rFonts w:hAnsi="仿宋" w:eastAsia="仿宋"/>
          <w:b w:val="0"/>
          <w:bCs w:val="0"/>
          <w:sz w:val="28"/>
          <w:szCs w:val="28"/>
        </w:rPr>
        <w:t>）危化品运输车辆线必须按照相关部门指定的路线行驶，避开人口密度较大的居民区。</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2</w:t>
      </w:r>
      <w:r>
        <w:rPr>
          <w:rFonts w:hAnsi="仿宋" w:eastAsia="仿宋"/>
          <w:b w:val="0"/>
          <w:bCs w:val="0"/>
          <w:sz w:val="28"/>
          <w:szCs w:val="28"/>
        </w:rPr>
        <w:t>）运输车辆应悬挂规定的危险品标志旗帜。运输过程进行安全性规划，并派专人进行运输中的安全管理与监督。</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3</w:t>
      </w:r>
      <w:r>
        <w:rPr>
          <w:rFonts w:hAnsi="仿宋" w:eastAsia="仿宋"/>
          <w:b w:val="0"/>
          <w:bCs w:val="0"/>
          <w:sz w:val="28"/>
          <w:szCs w:val="28"/>
        </w:rPr>
        <w:t>）制定事故处理机制，并对相关人员进行安全驾驶、应急措施、逃生等技术培训，并且汽车上要配有一定的急救设施和全身防护服。</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4</w:t>
      </w:r>
      <w:r>
        <w:rPr>
          <w:rFonts w:hAnsi="仿宋" w:eastAsia="仿宋"/>
          <w:b w:val="0"/>
          <w:bCs w:val="0"/>
          <w:sz w:val="28"/>
          <w:szCs w:val="28"/>
        </w:rPr>
        <w:t>）编制危险货物运输事故应急救援预案、根据事故级别启动救援预案。</w:t>
      </w:r>
    </w:p>
    <w:p>
      <w:pPr>
        <w:pStyle w:val="8"/>
        <w:tabs>
          <w:tab w:val="clear" w:pos="425"/>
        </w:tabs>
        <w:spacing w:line="520" w:lineRule="exact"/>
        <w:ind w:left="0" w:firstLine="0"/>
        <w:rPr>
          <w:rFonts w:eastAsia="仿宋"/>
          <w:sz w:val="28"/>
          <w:szCs w:val="28"/>
        </w:rPr>
      </w:pPr>
      <w:r>
        <w:rPr>
          <w:rFonts w:hAnsi="仿宋" w:eastAsia="仿宋"/>
          <w:sz w:val="28"/>
          <w:szCs w:val="28"/>
        </w:rPr>
        <w:t>风险管理制度</w:t>
      </w:r>
    </w:p>
    <w:p>
      <w:pPr>
        <w:pStyle w:val="95"/>
        <w:spacing w:line="520" w:lineRule="exact"/>
        <w:ind w:firstLine="562"/>
        <w:jc w:val="both"/>
        <w:rPr>
          <w:rFonts w:eastAsia="仿宋"/>
          <w:b w:val="0"/>
          <w:bCs w:val="0"/>
          <w:sz w:val="28"/>
          <w:szCs w:val="28"/>
        </w:rPr>
      </w:pPr>
      <w:r>
        <w:rPr>
          <w:rFonts w:hAnsi="仿宋" w:eastAsia="仿宋"/>
          <w:b w:val="0"/>
          <w:bCs w:val="0"/>
          <w:sz w:val="28"/>
          <w:szCs w:val="28"/>
        </w:rPr>
        <w:t>公司按照</w:t>
      </w:r>
      <w:r>
        <w:rPr>
          <w:rFonts w:eastAsia="仿宋"/>
          <w:b w:val="0"/>
          <w:bCs w:val="0"/>
          <w:sz w:val="28"/>
          <w:szCs w:val="28"/>
        </w:rPr>
        <w:t>“</w:t>
      </w:r>
      <w:r>
        <w:rPr>
          <w:rFonts w:hAnsi="仿宋" w:eastAsia="仿宋"/>
          <w:b w:val="0"/>
          <w:bCs w:val="0"/>
          <w:sz w:val="28"/>
          <w:szCs w:val="28"/>
        </w:rPr>
        <w:t>三体系</w:t>
      </w:r>
      <w:r>
        <w:rPr>
          <w:rFonts w:eastAsia="仿宋"/>
          <w:b w:val="0"/>
          <w:bCs w:val="0"/>
          <w:sz w:val="28"/>
          <w:szCs w:val="28"/>
        </w:rPr>
        <w:t>”</w:t>
      </w:r>
      <w:r>
        <w:rPr>
          <w:rFonts w:hAnsi="仿宋" w:eastAsia="仿宋"/>
          <w:b w:val="0"/>
          <w:bCs w:val="0"/>
          <w:sz w:val="28"/>
          <w:szCs w:val="28"/>
        </w:rPr>
        <w:t>程序文件要求制定了《安全生产管理制度》、《环境保护管理制度》等管理制度，贯彻落实国家安全、环保法律法规的要求，对公司危险化学品的</w:t>
      </w:r>
      <w:r>
        <w:rPr>
          <w:rFonts w:hint="eastAsia" w:hAnsi="仿宋" w:eastAsia="仿宋"/>
          <w:b w:val="0"/>
          <w:bCs w:val="0"/>
          <w:sz w:val="28"/>
          <w:szCs w:val="28"/>
        </w:rPr>
        <w:t>收集、</w:t>
      </w:r>
      <w:r>
        <w:rPr>
          <w:rFonts w:hAnsi="仿宋" w:eastAsia="仿宋"/>
          <w:b w:val="0"/>
          <w:bCs w:val="0"/>
          <w:sz w:val="28"/>
          <w:szCs w:val="28"/>
        </w:rPr>
        <w:t>贮存</w:t>
      </w:r>
      <w:r>
        <w:rPr>
          <w:rFonts w:hint="eastAsia" w:hAnsi="仿宋" w:eastAsia="仿宋"/>
          <w:b w:val="0"/>
          <w:bCs w:val="0"/>
          <w:sz w:val="28"/>
          <w:szCs w:val="28"/>
        </w:rPr>
        <w:t>和转运</w:t>
      </w:r>
      <w:r>
        <w:rPr>
          <w:rFonts w:hAnsi="仿宋" w:eastAsia="仿宋"/>
          <w:b w:val="0"/>
          <w:bCs w:val="0"/>
          <w:sz w:val="28"/>
          <w:szCs w:val="28"/>
        </w:rPr>
        <w:t>等环节进行严格管理，强化各级责任落实，严格环境风险源的控制管理，防治环境污染事件的发生。</w:t>
      </w:r>
    </w:p>
    <w:p>
      <w:pPr>
        <w:pStyle w:val="8"/>
        <w:tabs>
          <w:tab w:val="clear" w:pos="425"/>
        </w:tabs>
        <w:spacing w:line="520" w:lineRule="exact"/>
        <w:ind w:left="0" w:firstLine="0"/>
        <w:rPr>
          <w:rFonts w:eastAsia="仿宋"/>
          <w:sz w:val="28"/>
          <w:szCs w:val="28"/>
        </w:rPr>
      </w:pPr>
      <w:r>
        <w:rPr>
          <w:rFonts w:hAnsi="仿宋" w:eastAsia="仿宋"/>
          <w:sz w:val="28"/>
          <w:szCs w:val="28"/>
        </w:rPr>
        <w:t>风险隐患排查</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1</w:t>
      </w:r>
      <w:r>
        <w:rPr>
          <w:rFonts w:hAnsi="仿宋" w:eastAsia="仿宋"/>
          <w:b w:val="0"/>
          <w:bCs w:val="0"/>
          <w:sz w:val="28"/>
          <w:szCs w:val="28"/>
        </w:rPr>
        <w:t>）公司实行环境污染隐患报告制度，对生产过程中由于检修或设施运行不正常等原因可能造成环境污染的隐患，及时向</w:t>
      </w:r>
      <w:r>
        <w:rPr>
          <w:rFonts w:hint="eastAsia" w:hAnsi="仿宋" w:eastAsia="仿宋"/>
          <w:b w:val="0"/>
          <w:bCs w:val="0"/>
          <w:sz w:val="28"/>
          <w:szCs w:val="28"/>
        </w:rPr>
        <w:t>总经理</w:t>
      </w:r>
      <w:r>
        <w:rPr>
          <w:rFonts w:hAnsi="仿宋" w:eastAsia="仿宋"/>
          <w:b w:val="0"/>
          <w:bCs w:val="0"/>
          <w:sz w:val="28"/>
          <w:szCs w:val="28"/>
        </w:rPr>
        <w:t>报告，从而采取预防和防范措施。</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2</w:t>
      </w:r>
      <w:r>
        <w:rPr>
          <w:rFonts w:hAnsi="仿宋" w:eastAsia="仿宋"/>
          <w:b w:val="0"/>
          <w:bCs w:val="0"/>
          <w:sz w:val="28"/>
          <w:szCs w:val="28"/>
        </w:rPr>
        <w:t>）公司设置专职的环保管理及环境监查人员，定期对环境风险源的安全、污染源排放的达标情况及环保设施的运行情况进行检查和监测，为确保环境风险源的安全提供了保障。</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3</w:t>
      </w:r>
      <w:r>
        <w:rPr>
          <w:rFonts w:hAnsi="仿宋" w:eastAsia="仿宋"/>
          <w:b w:val="0"/>
          <w:bCs w:val="0"/>
          <w:sz w:val="28"/>
          <w:szCs w:val="28"/>
        </w:rPr>
        <w:t>）公司每月组织人员对全厂进行安全、环保检查，发现隐患，当场开具隐患整改通知书，并跟踪督促整改落实到位，及时消除隐患，避免环境污染事件的发生。并在各岗位配备防毒面具、空气呼吸器、急救器材及安全教育设备等作为应急使用。</w:t>
      </w:r>
    </w:p>
    <w:p>
      <w:pPr>
        <w:pStyle w:val="6"/>
        <w:spacing w:before="0" w:beforeAutospacing="0" w:line="520" w:lineRule="exact"/>
        <w:ind w:left="0" w:firstLine="0"/>
        <w:rPr>
          <w:rFonts w:eastAsia="仿宋"/>
        </w:rPr>
      </w:pPr>
      <w:bookmarkStart w:id="69" w:name="_Toc22981"/>
      <w:bookmarkStart w:id="70" w:name="_Toc46843271"/>
      <w:bookmarkStart w:id="71" w:name="_Toc472856702"/>
      <w:r>
        <w:rPr>
          <w:rFonts w:hAnsi="仿宋" w:eastAsia="仿宋"/>
        </w:rPr>
        <w:t>预警分级</w:t>
      </w:r>
      <w:bookmarkEnd w:id="69"/>
      <w:bookmarkEnd w:id="70"/>
      <w:bookmarkEnd w:id="71"/>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按照突发环境事件发生的紧急程度、发展态势和可能造成的社会危害程度，突发环境事件的预警级别由高到低分为社会级预警和企业级预警。社会级按照国家事件分级办法分为特别严重预警（Ⅰ级）、重大预警（Ⅱ级）、较大预警（Ⅲ级）和一般预警（</w:t>
      </w:r>
      <w:r>
        <w:rPr>
          <w:rFonts w:hint="eastAsia" w:ascii="宋体" w:hAnsi="宋体" w:eastAsia="宋体" w:cs="宋体"/>
          <w:b w:val="0"/>
          <w:bCs w:val="0"/>
          <w:sz w:val="28"/>
          <w:szCs w:val="28"/>
        </w:rPr>
        <w:t>Ⅳ</w:t>
      </w:r>
      <w:r>
        <w:rPr>
          <w:rFonts w:hint="eastAsia" w:hAnsi="仿宋" w:eastAsia="仿宋"/>
          <w:b w:val="0"/>
          <w:bCs w:val="0"/>
          <w:sz w:val="28"/>
          <w:szCs w:val="28"/>
        </w:rPr>
        <w:t>级）四个级别。公司可能发生的的突发环境事件分为公司级、车间级、班组级和岗位级，并依次用红色、橙色、黄色、蓝色表示。</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（1）Ⅰ级（红色）：公司级预警为罐区储罐发生大量泄漏；生产装置发生</w:t>
      </w:r>
      <w:r>
        <w:rPr>
          <w:rFonts w:hint="eastAsia" w:hAnsi="仿宋" w:eastAsia="仿宋"/>
          <w:b w:val="0"/>
          <w:bCs w:val="0"/>
          <w:sz w:val="28"/>
          <w:szCs w:val="28"/>
          <w:lang w:eastAsia="zh-CN"/>
        </w:rPr>
        <w:t>液氯、黄磷少量泄漏，</w:t>
      </w:r>
      <w:r>
        <w:rPr>
          <w:rFonts w:hint="eastAsia" w:hAnsi="仿宋" w:eastAsia="仿宋"/>
          <w:b w:val="0"/>
          <w:bCs w:val="0"/>
          <w:sz w:val="28"/>
          <w:szCs w:val="28"/>
        </w:rPr>
        <w:t>盐酸等大量泄漏；尾气吸收塔非正常运转导致废气事故排放，对周围环境造成严重伤害。公司级预警由公司环境污染事件应急指挥中心确认并发布。</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2）Ⅱ级（橙色）：车间级预警为罐区储罐管线或连接处发生少量泄漏；生产装置管线或阀门发生少量泄漏，对外环境未造成严重伤害。由单元现场人员控制的。车间级预警由部门负责人确认，报请公司环境污染事件应急办公室后发布。</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（3）Ⅲ级（黄色）：储罐区管线或阀门发生微量泄漏；生产装置阀门发生微量泄漏由当班人员可以自行处理的。班组级预警由当班班长确认，报请公司环境污染事件应急办公室后发布。</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（4）</w:t>
      </w:r>
      <w:r>
        <w:rPr>
          <w:rFonts w:hint="eastAsia" w:ascii="宋体" w:hAnsi="宋体" w:eastAsia="宋体" w:cs="宋体"/>
          <w:b w:val="0"/>
          <w:bCs w:val="0"/>
          <w:sz w:val="28"/>
          <w:szCs w:val="28"/>
        </w:rPr>
        <w:t>Ⅳ</w:t>
      </w:r>
      <w:r>
        <w:rPr>
          <w:rFonts w:hint="eastAsia" w:hAnsi="仿宋" w:eastAsia="仿宋"/>
          <w:b w:val="0"/>
          <w:bCs w:val="0"/>
          <w:sz w:val="28"/>
          <w:szCs w:val="28"/>
        </w:rPr>
        <w:t>级（蓝色）：装卸过程中发生物料微量泄漏，由该岗位人员可自行处理的。岗位级预警由该岗位人员确认，报请公司环境污染事件应急办公室后发布。</w:t>
      </w:r>
    </w:p>
    <w:p>
      <w:pPr>
        <w:pStyle w:val="6"/>
        <w:spacing w:before="0" w:beforeAutospacing="0" w:line="520" w:lineRule="exact"/>
        <w:ind w:left="0" w:firstLine="0"/>
        <w:rPr>
          <w:rFonts w:eastAsia="仿宋"/>
        </w:rPr>
      </w:pPr>
      <w:bookmarkStart w:id="72" w:name="_Toc472856703"/>
      <w:bookmarkStart w:id="73" w:name="_Toc46843272"/>
      <w:bookmarkStart w:id="74" w:name="_Toc11347"/>
      <w:r>
        <w:rPr>
          <w:rFonts w:hAnsi="仿宋" w:eastAsia="仿宋"/>
        </w:rPr>
        <w:t>预警及措施</w:t>
      </w:r>
      <w:bookmarkEnd w:id="72"/>
      <w:bookmarkEnd w:id="73"/>
      <w:bookmarkEnd w:id="74"/>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值班人员或生产人员在遇到下列情况时，应立即启动突发环境事件应急预案：</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（1）罐区、生产工艺装置区、装卸区等重大污染源部位发生泄漏、火灾、爆炸事故。</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（2）生产工艺参数运行超出正常指标值，如温度、压力、流量、液位等发生急剧变化时。</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（3）重要环保设施不能正常运行。</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（4）发生人员中毒事故。</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（5）消防自动报警系统发出报警信号时。</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（6）其他可能导致污染事故的状况出现时。</w:t>
      </w:r>
    </w:p>
    <w:p>
      <w:pPr>
        <w:pStyle w:val="95"/>
        <w:spacing w:line="520" w:lineRule="exact"/>
        <w:ind w:firstLine="562"/>
        <w:jc w:val="both"/>
        <w:rPr>
          <w:rFonts w:eastAsia="仿宋"/>
          <w:b w:val="0"/>
          <w:bCs w:val="0"/>
          <w:sz w:val="28"/>
          <w:szCs w:val="28"/>
        </w:rPr>
      </w:pPr>
      <w:r>
        <w:rPr>
          <w:rFonts w:hAnsi="仿宋" w:eastAsia="仿宋"/>
          <w:b w:val="0"/>
          <w:bCs w:val="0"/>
          <w:sz w:val="28"/>
          <w:szCs w:val="28"/>
        </w:rPr>
        <w:t>进入预警状态后，</w:t>
      </w:r>
      <w:r>
        <w:rPr>
          <w:rFonts w:hint="eastAsia" w:hAnsi="仿宋" w:eastAsia="仿宋"/>
          <w:b w:val="0"/>
          <w:bCs w:val="0"/>
          <w:sz w:val="28"/>
          <w:szCs w:val="28"/>
        </w:rPr>
        <w:t>厂区</w:t>
      </w:r>
      <w:r>
        <w:rPr>
          <w:rFonts w:hAnsi="仿宋" w:eastAsia="仿宋"/>
          <w:b w:val="0"/>
          <w:bCs w:val="0"/>
          <w:sz w:val="28"/>
          <w:szCs w:val="28"/>
        </w:rPr>
        <w:t>应采取以下措施：</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1</w:t>
      </w:r>
      <w:r>
        <w:rPr>
          <w:rFonts w:hAnsi="仿宋" w:eastAsia="仿宋"/>
          <w:b w:val="0"/>
          <w:bCs w:val="0"/>
          <w:sz w:val="28"/>
          <w:szCs w:val="28"/>
        </w:rPr>
        <w:t>）立即启动相关应急预案；</w:t>
      </w:r>
    </w:p>
    <w:p>
      <w:pPr>
        <w:pStyle w:val="95"/>
        <w:spacing w:line="520" w:lineRule="exact"/>
        <w:ind w:firstLine="562"/>
        <w:jc w:val="both"/>
        <w:rPr>
          <w:rFonts w:hAnsi="仿宋" w:eastAsia="仿宋"/>
          <w:b w:val="0"/>
          <w:bCs w:val="0"/>
          <w:sz w:val="28"/>
          <w:szCs w:val="28"/>
        </w:rPr>
      </w:pPr>
      <w:r>
        <w:rPr>
          <w:rFonts w:hAnsi="仿宋" w:eastAsia="仿宋"/>
          <w:b w:val="0"/>
          <w:bCs w:val="0"/>
          <w:sz w:val="28"/>
          <w:szCs w:val="28"/>
        </w:rPr>
        <w:t>（</w:t>
      </w:r>
      <w:r>
        <w:rPr>
          <w:rFonts w:eastAsia="仿宋"/>
          <w:b w:val="0"/>
          <w:bCs w:val="0"/>
          <w:sz w:val="28"/>
          <w:szCs w:val="28"/>
        </w:rPr>
        <w:t>2</w:t>
      </w:r>
      <w:r>
        <w:rPr>
          <w:rFonts w:hAnsi="仿宋" w:eastAsia="仿宋"/>
          <w:b w:val="0"/>
          <w:bCs w:val="0"/>
          <w:sz w:val="28"/>
          <w:szCs w:val="28"/>
        </w:rPr>
        <w:t>）发布预警公告；</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3</w:t>
      </w:r>
      <w:r>
        <w:rPr>
          <w:rFonts w:hAnsi="仿宋" w:eastAsia="仿宋"/>
          <w:b w:val="0"/>
          <w:bCs w:val="0"/>
          <w:sz w:val="28"/>
          <w:szCs w:val="28"/>
        </w:rPr>
        <w:t>）公司安排人员</w:t>
      </w:r>
      <w:r>
        <w:rPr>
          <w:rFonts w:eastAsia="仿宋"/>
          <w:b w:val="0"/>
          <w:bCs w:val="0"/>
          <w:sz w:val="28"/>
          <w:szCs w:val="28"/>
        </w:rPr>
        <w:t>24</w:t>
      </w:r>
      <w:r>
        <w:rPr>
          <w:rFonts w:hAnsi="仿宋" w:eastAsia="仿宋"/>
          <w:b w:val="0"/>
          <w:bCs w:val="0"/>
          <w:sz w:val="28"/>
          <w:szCs w:val="28"/>
        </w:rPr>
        <w:t>小时值守，指令各环境应急队伍进入应急状态，随时掌握并报告事态进展情况，直至预警解除；</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4</w:t>
      </w:r>
      <w:r>
        <w:rPr>
          <w:rFonts w:hAnsi="仿宋" w:eastAsia="仿宋"/>
          <w:b w:val="0"/>
          <w:bCs w:val="0"/>
          <w:sz w:val="28"/>
          <w:szCs w:val="28"/>
        </w:rPr>
        <w:t>）应急救援总指挥部结合环境风险源识别结果发布预警指令，应急抢救</w:t>
      </w:r>
      <w:r>
        <w:rPr>
          <w:rFonts w:hint="eastAsia" w:hAnsi="仿宋" w:eastAsia="仿宋"/>
          <w:b w:val="0"/>
          <w:bCs w:val="0"/>
          <w:sz w:val="28"/>
          <w:szCs w:val="28"/>
        </w:rPr>
        <w:t>救援队</w:t>
      </w:r>
      <w:r>
        <w:rPr>
          <w:rFonts w:hAnsi="仿宋" w:eastAsia="仿宋"/>
          <w:b w:val="0"/>
          <w:bCs w:val="0"/>
          <w:sz w:val="28"/>
          <w:szCs w:val="28"/>
        </w:rPr>
        <w:t>向各</w:t>
      </w:r>
      <w:r>
        <w:rPr>
          <w:rFonts w:hint="eastAsia" w:hAnsi="仿宋" w:eastAsia="仿宋"/>
          <w:b w:val="0"/>
          <w:bCs w:val="0"/>
          <w:sz w:val="28"/>
          <w:szCs w:val="28"/>
        </w:rPr>
        <w:t>公司成员</w:t>
      </w:r>
      <w:r>
        <w:rPr>
          <w:rFonts w:hAnsi="仿宋" w:eastAsia="仿宋"/>
          <w:b w:val="0"/>
          <w:bCs w:val="0"/>
          <w:sz w:val="28"/>
          <w:szCs w:val="28"/>
        </w:rPr>
        <w:t>传达预警指令；</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5</w:t>
      </w:r>
      <w:r>
        <w:rPr>
          <w:rFonts w:hAnsi="仿宋" w:eastAsia="仿宋"/>
          <w:b w:val="0"/>
          <w:bCs w:val="0"/>
          <w:sz w:val="28"/>
          <w:szCs w:val="28"/>
        </w:rPr>
        <w:t>）针对突发事件可能造成的危害，封闭、隔离或者限制使用有关场所，中止可能导致危害扩大的行为和活动；</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6</w:t>
      </w:r>
      <w:r>
        <w:rPr>
          <w:rFonts w:hAnsi="仿宋" w:eastAsia="仿宋"/>
          <w:b w:val="0"/>
          <w:bCs w:val="0"/>
          <w:sz w:val="28"/>
          <w:szCs w:val="28"/>
        </w:rPr>
        <w:t>）专业组成员和应急指挥领导小组成员接到预警指令后安排熟悉本预案的人员</w:t>
      </w:r>
      <w:r>
        <w:rPr>
          <w:rFonts w:eastAsia="仿宋"/>
          <w:b w:val="0"/>
          <w:bCs w:val="0"/>
          <w:sz w:val="28"/>
          <w:szCs w:val="28"/>
        </w:rPr>
        <w:t>24</w:t>
      </w:r>
      <w:r>
        <w:rPr>
          <w:rFonts w:hAnsi="仿宋" w:eastAsia="仿宋"/>
          <w:b w:val="0"/>
          <w:bCs w:val="0"/>
          <w:sz w:val="28"/>
          <w:szCs w:val="28"/>
        </w:rPr>
        <w:t>小时值班，通知其他应急人员和应急救援队伍待命，准备应急物资发送；</w:t>
      </w:r>
    </w:p>
    <w:p>
      <w:pPr>
        <w:spacing w:line="520" w:lineRule="exact"/>
        <w:ind w:firstLine="560" w:firstLineChars="200"/>
        <w:rPr>
          <w:b w:val="0"/>
          <w:bCs w:val="0"/>
        </w:rPr>
      </w:pPr>
      <w:r>
        <w:rPr>
          <w:rFonts w:hAnsi="仿宋" w:eastAsia="仿宋"/>
          <w:b w:val="0"/>
          <w:bCs w:val="0"/>
          <w:sz w:val="28"/>
          <w:szCs w:val="28"/>
        </w:rPr>
        <w:t>（</w:t>
      </w:r>
      <w:r>
        <w:rPr>
          <w:rFonts w:eastAsia="仿宋"/>
          <w:b w:val="0"/>
          <w:bCs w:val="0"/>
          <w:sz w:val="28"/>
          <w:szCs w:val="28"/>
        </w:rPr>
        <w:t>7</w:t>
      </w:r>
      <w:r>
        <w:rPr>
          <w:rFonts w:hAnsi="仿宋" w:eastAsia="仿宋"/>
          <w:b w:val="0"/>
          <w:bCs w:val="0"/>
          <w:sz w:val="28"/>
          <w:szCs w:val="28"/>
        </w:rPr>
        <w:t>）根据应急指挥领导小组的指令，随时准备启动环境监测。</w:t>
      </w:r>
    </w:p>
    <w:p>
      <w:pPr>
        <w:widowControl/>
        <w:jc w:val="center"/>
      </w:pPr>
      <w:r>
        <w:rPr>
          <w:rFonts w:ascii="宋体" w:hAnsi="宋体" w:cs="宋体"/>
          <w:kern w:val="0"/>
          <w:sz w:val="24"/>
          <w:szCs w:val="24"/>
        </w:rPr>
        <w:drawing>
          <wp:inline distT="0" distB="0" distL="114300" distR="114300">
            <wp:extent cx="5454650" cy="5626100"/>
            <wp:effectExtent l="0" t="0" r="12700" b="12700"/>
            <wp:docPr id="10"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6" descr="IMG_256"/>
                    <pic:cNvPicPr>
                      <a:picLocks noChangeAspect="1"/>
                    </pic:cNvPicPr>
                  </pic:nvPicPr>
                  <pic:blipFill>
                    <a:blip r:embed="rId33"/>
                    <a:stretch>
                      <a:fillRect/>
                    </a:stretch>
                  </pic:blipFill>
                  <pic:spPr>
                    <a:xfrm>
                      <a:off x="0" y="0"/>
                      <a:ext cx="5454650" cy="5626100"/>
                    </a:xfrm>
                    <a:prstGeom prst="rect">
                      <a:avLst/>
                    </a:prstGeom>
                    <a:noFill/>
                    <a:ln>
                      <a:noFill/>
                    </a:ln>
                  </pic:spPr>
                </pic:pic>
              </a:graphicData>
            </a:graphic>
          </wp:inline>
        </w:drawing>
      </w:r>
    </w:p>
    <w:p>
      <w:pPr>
        <w:pStyle w:val="32"/>
        <w:spacing w:line="240" w:lineRule="auto"/>
        <w:rPr>
          <w:rFonts w:eastAsia="仿宋"/>
          <w:b w:val="0"/>
          <w:bCs w:val="0"/>
          <w:snapToGrid/>
          <w:kern w:val="2"/>
          <w:sz w:val="28"/>
          <w:szCs w:val="28"/>
        </w:rPr>
      </w:pPr>
      <w:r>
        <w:rPr>
          <w:rFonts w:hint="eastAsia" w:eastAsia="仿宋"/>
          <w:b w:val="0"/>
          <w:bCs w:val="0"/>
          <w:snapToGrid/>
          <w:kern w:val="2"/>
          <w:sz w:val="28"/>
          <w:szCs w:val="28"/>
        </w:rPr>
        <w:t>图5.4-1  突发环境事件预警流程图</w:t>
      </w:r>
    </w:p>
    <w:p>
      <w:pPr>
        <w:pStyle w:val="6"/>
        <w:spacing w:before="0" w:beforeAutospacing="0" w:line="520" w:lineRule="exact"/>
        <w:ind w:left="0" w:firstLine="0"/>
        <w:rPr>
          <w:rFonts w:hAnsi="仿宋" w:eastAsia="仿宋"/>
        </w:rPr>
      </w:pPr>
      <w:bookmarkStart w:id="75" w:name="_Toc19851"/>
      <w:r>
        <w:rPr>
          <w:rFonts w:hint="eastAsia" w:hAnsi="仿宋" w:eastAsia="仿宋"/>
        </w:rPr>
        <w:t>预警措施</w:t>
      </w:r>
      <w:bookmarkEnd w:id="75"/>
    </w:p>
    <w:p>
      <w:pPr>
        <w:pStyle w:val="32"/>
        <w:spacing w:line="520" w:lineRule="exact"/>
        <w:ind w:firstLine="560" w:firstLineChars="200"/>
        <w:jc w:val="both"/>
        <w:rPr>
          <w:rFonts w:eastAsia="仿宋"/>
          <w:b w:val="0"/>
          <w:bCs w:val="0"/>
          <w:snapToGrid/>
          <w:kern w:val="2"/>
          <w:sz w:val="28"/>
          <w:szCs w:val="28"/>
        </w:rPr>
      </w:pPr>
      <w:r>
        <w:rPr>
          <w:rFonts w:hint="eastAsia" w:eastAsia="仿宋"/>
          <w:b w:val="0"/>
          <w:bCs w:val="0"/>
          <w:snapToGrid/>
          <w:kern w:val="2"/>
          <w:sz w:val="28"/>
          <w:szCs w:val="28"/>
        </w:rPr>
        <w:t>在确认进入预警状态之后，根据预警相应级别公司应急指挥中心按照</w:t>
      </w:r>
      <w:r>
        <w:rPr>
          <w:rFonts w:eastAsia="仿宋"/>
          <w:b w:val="0"/>
          <w:bCs w:val="0"/>
          <w:snapToGrid/>
          <w:kern w:val="2"/>
          <w:sz w:val="28"/>
          <w:szCs w:val="28"/>
        </w:rPr>
        <w:t>相关程序可采取以下行动：</w:t>
      </w:r>
    </w:p>
    <w:p>
      <w:pPr>
        <w:pStyle w:val="32"/>
        <w:spacing w:line="520" w:lineRule="exact"/>
        <w:ind w:firstLine="560" w:firstLineChars="200"/>
        <w:jc w:val="both"/>
        <w:rPr>
          <w:rFonts w:eastAsia="仿宋"/>
          <w:b w:val="0"/>
          <w:bCs w:val="0"/>
          <w:snapToGrid/>
          <w:kern w:val="2"/>
          <w:sz w:val="28"/>
          <w:szCs w:val="28"/>
        </w:rPr>
      </w:pPr>
      <w:r>
        <w:rPr>
          <w:rFonts w:eastAsia="仿宋"/>
          <w:b w:val="0"/>
          <w:bCs w:val="0"/>
          <w:sz w:val="28"/>
          <w:szCs w:val="28"/>
        </w:rPr>
        <w:t>Ⅰ级</w:t>
      </w:r>
      <w:r>
        <w:rPr>
          <w:rFonts w:eastAsia="仿宋"/>
          <w:b w:val="0"/>
          <w:bCs w:val="0"/>
          <w:snapToGrid/>
          <w:kern w:val="2"/>
          <w:sz w:val="28"/>
          <w:szCs w:val="28"/>
        </w:rPr>
        <w:t>预警：现场人员报告生产科、安环科科长，科长核实情况后立即报告工厂应急指挥中心，工厂应急指挥中心确认现场情况后，启动公司突发环境事件应急预案，并及时向政府部门报告，由政府领导决定后发布预警等级。</w:t>
      </w:r>
    </w:p>
    <w:p>
      <w:pPr>
        <w:pStyle w:val="32"/>
        <w:spacing w:line="520" w:lineRule="exact"/>
        <w:ind w:firstLine="560" w:firstLineChars="200"/>
        <w:jc w:val="both"/>
        <w:rPr>
          <w:rFonts w:eastAsia="仿宋"/>
          <w:b w:val="0"/>
          <w:bCs w:val="0"/>
          <w:snapToGrid/>
          <w:kern w:val="2"/>
          <w:sz w:val="28"/>
          <w:szCs w:val="28"/>
        </w:rPr>
      </w:pPr>
      <w:r>
        <w:rPr>
          <w:rFonts w:eastAsia="仿宋"/>
          <w:b w:val="0"/>
          <w:bCs w:val="0"/>
          <w:sz w:val="28"/>
          <w:szCs w:val="28"/>
        </w:rPr>
        <w:t>Ⅱ级</w:t>
      </w:r>
      <w:r>
        <w:rPr>
          <w:rFonts w:eastAsia="仿宋"/>
          <w:b w:val="0"/>
          <w:bCs w:val="0"/>
          <w:snapToGrid/>
          <w:kern w:val="2"/>
          <w:sz w:val="28"/>
          <w:szCs w:val="28"/>
        </w:rPr>
        <w:t>预警：现场人员向生产科、安环科科长，主管负责上报事件情况，工厂应急指挥部宣布启动预案。</w:t>
      </w:r>
    </w:p>
    <w:p>
      <w:pPr>
        <w:pStyle w:val="32"/>
        <w:spacing w:line="520" w:lineRule="exact"/>
        <w:ind w:firstLine="560" w:firstLineChars="200"/>
        <w:jc w:val="both"/>
        <w:rPr>
          <w:rFonts w:eastAsia="仿宋"/>
          <w:b w:val="0"/>
          <w:bCs w:val="0"/>
          <w:snapToGrid/>
          <w:kern w:val="2"/>
          <w:sz w:val="28"/>
          <w:szCs w:val="28"/>
        </w:rPr>
      </w:pPr>
      <w:r>
        <w:rPr>
          <w:rFonts w:eastAsia="仿宋"/>
          <w:b w:val="0"/>
          <w:bCs w:val="0"/>
          <w:sz w:val="28"/>
          <w:szCs w:val="28"/>
        </w:rPr>
        <w:t>Ⅲ级</w:t>
      </w:r>
      <w:r>
        <w:rPr>
          <w:rFonts w:eastAsia="仿宋"/>
          <w:b w:val="0"/>
          <w:bCs w:val="0"/>
          <w:snapToGrid/>
          <w:kern w:val="2"/>
          <w:sz w:val="28"/>
          <w:szCs w:val="28"/>
        </w:rPr>
        <w:t>预警：现场人员立即报告部门负责人和值班调度并通知安环科，部门负责人或调度视现场情况组织现场处置，安环科视情况协调相关部门进行现场处置，落实巡查、监控措施；如隐患未消除，应通知相关应急部门、人员作好应急准备。</w:t>
      </w:r>
    </w:p>
    <w:p>
      <w:pPr>
        <w:pStyle w:val="32"/>
        <w:spacing w:line="520" w:lineRule="exact"/>
        <w:ind w:firstLine="560" w:firstLineChars="200"/>
        <w:jc w:val="both"/>
        <w:rPr>
          <w:rFonts w:eastAsia="仿宋"/>
          <w:b w:val="0"/>
          <w:bCs w:val="0"/>
          <w:snapToGrid/>
          <w:kern w:val="2"/>
          <w:sz w:val="28"/>
          <w:szCs w:val="28"/>
        </w:rPr>
      </w:pPr>
      <w:r>
        <w:rPr>
          <w:rFonts w:eastAsia="仿宋"/>
          <w:b w:val="0"/>
          <w:bCs w:val="0"/>
          <w:sz w:val="28"/>
          <w:szCs w:val="28"/>
        </w:rPr>
        <w:t>Ⅳ级</w:t>
      </w:r>
      <w:r>
        <w:rPr>
          <w:rFonts w:eastAsia="仿宋"/>
          <w:b w:val="0"/>
          <w:bCs w:val="0"/>
          <w:snapToGrid/>
          <w:kern w:val="2"/>
          <w:sz w:val="28"/>
          <w:szCs w:val="28"/>
        </w:rPr>
        <w:t>预警：现场人员立即报告班长和部门负责人，班长或部门负责人视现场情况组织现场处置，落实巡查、监控措施；如隐患未消除，应通知相关应急部门、人员作好应急准备。</w:t>
      </w:r>
    </w:p>
    <w:p>
      <w:pPr>
        <w:pStyle w:val="32"/>
        <w:spacing w:line="520" w:lineRule="exact"/>
        <w:ind w:firstLine="560" w:firstLineChars="200"/>
        <w:jc w:val="both"/>
        <w:rPr>
          <w:rFonts w:eastAsia="仿宋"/>
          <w:b w:val="0"/>
          <w:bCs w:val="0"/>
          <w:snapToGrid/>
          <w:kern w:val="2"/>
          <w:sz w:val="28"/>
          <w:szCs w:val="28"/>
        </w:rPr>
      </w:pPr>
      <w:r>
        <w:rPr>
          <w:rFonts w:eastAsia="仿宋"/>
          <w:b w:val="0"/>
          <w:bCs w:val="0"/>
          <w:snapToGrid/>
          <w:kern w:val="2"/>
          <w:sz w:val="28"/>
          <w:szCs w:val="28"/>
        </w:rPr>
        <w:t>以上预警信息报告通知遇非工作日时，通知值班调度和总值班人员，并及时报告应急指挥部总指挥。</w:t>
      </w:r>
    </w:p>
    <w:p>
      <w:pPr>
        <w:pStyle w:val="6"/>
        <w:spacing w:before="0" w:beforeAutospacing="0" w:line="520" w:lineRule="exact"/>
        <w:ind w:left="0" w:firstLine="0"/>
        <w:rPr>
          <w:rFonts w:eastAsia="仿宋"/>
        </w:rPr>
      </w:pPr>
      <w:bookmarkStart w:id="76" w:name="_Toc472856704"/>
      <w:bookmarkStart w:id="77" w:name="_Toc46843273"/>
      <w:bookmarkStart w:id="78" w:name="_Toc2027"/>
      <w:r>
        <w:rPr>
          <w:rFonts w:hAnsi="仿宋" w:eastAsia="仿宋"/>
        </w:rPr>
        <w:t>预警的发布与解除</w:t>
      </w:r>
      <w:bookmarkEnd w:id="76"/>
      <w:bookmarkEnd w:id="77"/>
      <w:bookmarkEnd w:id="78"/>
    </w:p>
    <w:p>
      <w:pPr>
        <w:pStyle w:val="8"/>
        <w:tabs>
          <w:tab w:val="clear" w:pos="425"/>
        </w:tabs>
        <w:spacing w:line="520" w:lineRule="exact"/>
        <w:ind w:left="0" w:firstLine="0"/>
        <w:rPr>
          <w:rFonts w:eastAsia="仿宋"/>
          <w:sz w:val="28"/>
          <w:szCs w:val="28"/>
        </w:rPr>
      </w:pPr>
      <w:r>
        <w:rPr>
          <w:rFonts w:hAnsi="仿宋" w:eastAsia="仿宋"/>
          <w:sz w:val="28"/>
          <w:szCs w:val="28"/>
        </w:rPr>
        <w:t>预警发布</w:t>
      </w:r>
    </w:p>
    <w:p>
      <w:pPr>
        <w:pStyle w:val="95"/>
        <w:spacing w:line="520" w:lineRule="exact"/>
        <w:ind w:firstLine="562"/>
        <w:rPr>
          <w:rFonts w:hAnsi="仿宋" w:eastAsia="仿宋"/>
          <w:b w:val="0"/>
          <w:bCs w:val="0"/>
          <w:sz w:val="28"/>
          <w:szCs w:val="28"/>
        </w:rPr>
      </w:pPr>
      <w:r>
        <w:rPr>
          <w:rFonts w:hAnsi="仿宋" w:eastAsia="仿宋"/>
          <w:b w:val="0"/>
          <w:bCs w:val="0"/>
          <w:sz w:val="28"/>
          <w:szCs w:val="28"/>
        </w:rPr>
        <w:t>预警信息经公司应急救援指挥部办公室收集，经公司应急救援指挥部批准，由公司应急救援指挥部办公室组织发布。</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预警发布方式</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公司应急指挥组和相关职能部门，通过以下方式、方法，发布或获取预警信息：</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（1）广播发布预警；</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（2）公司现有的通讯资源发布预警（电话、手机、装置现场喊话呼叫系统）；</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（3）警报发布预警（声光信号）；</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（4）车间上报的预警信息（口头形式）。</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信息接收与通报</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公司24小时应急值守电话：</w:t>
      </w:r>
      <w:r>
        <w:rPr>
          <w:rFonts w:hint="eastAsia" w:ascii="Times New Roman" w:hAnsi="Times New Roman" w:eastAsia="仿宋"/>
          <w:szCs w:val="21"/>
          <w:highlight w:val="none"/>
          <w:lang w:val="en-US" w:eastAsia="zh-CN"/>
        </w:rPr>
        <w:t>XXX</w:t>
      </w:r>
      <w:r>
        <w:rPr>
          <w:rFonts w:hint="eastAsia" w:hAnsi="仿宋" w:eastAsia="仿宋"/>
          <w:b w:val="0"/>
          <w:bCs w:val="0"/>
          <w:sz w:val="28"/>
          <w:szCs w:val="28"/>
        </w:rPr>
        <w:t>。</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信息接收时值班人员应询问并记录准确的时间、地点、部位、危险物质、发展态势及人员受困、伤亡等情况。</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信息接收后值班人员应第一时间将事件预警情况通报公司安环科负责人，安环科科长根据险情危险程度和发展态势上报给总经理及副总经理，并及时将情况通报给公司各应急救援组。</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预警通讯</w:t>
      </w:r>
    </w:p>
    <w:p>
      <w:pPr>
        <w:pStyle w:val="9"/>
        <w:spacing w:before="0" w:after="0" w:line="520" w:lineRule="exact"/>
        <w:ind w:left="0" w:firstLine="0"/>
        <w:rPr>
          <w:rFonts w:eastAsia="仿宋_GB2312"/>
        </w:rPr>
      </w:pPr>
      <w:r>
        <w:rPr>
          <w:rFonts w:hint="eastAsia" w:eastAsia="仿宋_GB2312"/>
        </w:rPr>
        <w:t>预警联络方式</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公司应急指挥机构的现场指挥由</w:t>
      </w:r>
      <w:r>
        <w:rPr>
          <w:rFonts w:hint="eastAsia" w:hAnsi="仿宋" w:eastAsia="仿宋"/>
          <w:b w:val="0"/>
          <w:bCs w:val="0"/>
          <w:sz w:val="28"/>
          <w:szCs w:val="28"/>
          <w:lang w:eastAsia="zh-CN"/>
        </w:rPr>
        <w:t>况庆雷</w:t>
      </w:r>
      <w:r>
        <w:rPr>
          <w:rFonts w:hint="eastAsia" w:hAnsi="仿宋" w:eastAsia="仿宋"/>
          <w:b w:val="0"/>
          <w:bCs w:val="0"/>
          <w:sz w:val="28"/>
          <w:szCs w:val="28"/>
        </w:rPr>
        <w:t>担任，电话：13767856959，应急领导小组成员由各部门主管担任。负责人在接到情况报告后，组织先期处置的同时，迅速通报相关单位，并及时查明事件详情，情况严重的由应急领导小组决定拨打110、119或120求助。</w:t>
      </w:r>
    </w:p>
    <w:p>
      <w:pPr>
        <w:pStyle w:val="9"/>
        <w:spacing w:before="0" w:after="0" w:line="520" w:lineRule="exact"/>
        <w:ind w:left="0" w:firstLine="0"/>
        <w:rPr>
          <w:rFonts w:eastAsia="仿宋_GB2312"/>
        </w:rPr>
      </w:pPr>
      <w:r>
        <w:rPr>
          <w:rFonts w:hint="eastAsia" w:eastAsia="仿宋_GB2312"/>
        </w:rPr>
        <w:t>内部通讯方式</w:t>
      </w:r>
    </w:p>
    <w:p>
      <w:pPr>
        <w:pStyle w:val="95"/>
        <w:spacing w:line="520" w:lineRule="exact"/>
        <w:ind w:firstLine="562"/>
        <w:rPr>
          <w:rFonts w:hAnsi="仿宋" w:eastAsia="仿宋"/>
          <w:sz w:val="28"/>
          <w:szCs w:val="28"/>
        </w:rPr>
      </w:pPr>
      <w:r>
        <w:rPr>
          <w:rFonts w:hint="eastAsia" w:hAnsi="仿宋" w:eastAsia="仿宋"/>
          <w:b w:val="0"/>
          <w:bCs w:val="0"/>
          <w:sz w:val="28"/>
          <w:szCs w:val="28"/>
        </w:rPr>
        <w:t>电话或口头通知各部门。详见附件1。</w:t>
      </w:r>
    </w:p>
    <w:p>
      <w:pPr>
        <w:pStyle w:val="9"/>
        <w:spacing w:before="0" w:after="0" w:line="520" w:lineRule="exact"/>
        <w:ind w:left="0" w:firstLine="0"/>
        <w:rPr>
          <w:rFonts w:eastAsia="仿宋_GB2312"/>
        </w:rPr>
      </w:pPr>
      <w:r>
        <w:rPr>
          <w:rFonts w:hint="eastAsia" w:eastAsia="仿宋_GB2312"/>
        </w:rPr>
        <w:t>外部通讯方式</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外部通讯方式见附件2。</w:t>
      </w:r>
    </w:p>
    <w:p>
      <w:pPr>
        <w:pStyle w:val="9"/>
        <w:spacing w:before="0" w:after="0" w:line="520" w:lineRule="exact"/>
        <w:ind w:left="0" w:firstLine="0"/>
        <w:rPr>
          <w:rFonts w:eastAsia="仿宋_GB2312"/>
        </w:rPr>
      </w:pPr>
      <w:r>
        <w:rPr>
          <w:rFonts w:hint="eastAsia" w:eastAsia="仿宋_GB2312"/>
        </w:rPr>
        <w:t>预警的调整和解除</w:t>
      </w:r>
    </w:p>
    <w:p>
      <w:pPr>
        <w:pStyle w:val="95"/>
        <w:spacing w:line="520" w:lineRule="exact"/>
        <w:ind w:firstLine="562"/>
        <w:jc w:val="both"/>
        <w:rPr>
          <w:rFonts w:eastAsia="仿宋"/>
          <w:b w:val="0"/>
          <w:bCs w:val="0"/>
          <w:sz w:val="28"/>
          <w:szCs w:val="28"/>
        </w:rPr>
      </w:pPr>
      <w:r>
        <w:rPr>
          <w:rFonts w:eastAsia="仿宋"/>
          <w:b w:val="0"/>
          <w:bCs w:val="0"/>
          <w:sz w:val="28"/>
          <w:szCs w:val="28"/>
        </w:rPr>
        <w:t>预警情况得到相应的控制后，及时核查现场情况，根据具体情况调整预警级别，具体如下：</w:t>
      </w:r>
    </w:p>
    <w:p>
      <w:pPr>
        <w:pStyle w:val="95"/>
        <w:spacing w:line="520" w:lineRule="exact"/>
        <w:ind w:firstLine="562"/>
        <w:jc w:val="both"/>
        <w:rPr>
          <w:rFonts w:eastAsia="仿宋"/>
          <w:b w:val="0"/>
          <w:bCs w:val="0"/>
          <w:sz w:val="28"/>
          <w:szCs w:val="28"/>
        </w:rPr>
      </w:pPr>
      <w:r>
        <w:rPr>
          <w:rFonts w:eastAsia="仿宋"/>
          <w:b w:val="0"/>
          <w:bCs w:val="0"/>
          <w:sz w:val="28"/>
          <w:szCs w:val="28"/>
        </w:rPr>
        <w:t>（1）Ⅳ级</w:t>
      </w:r>
      <w:r>
        <w:rPr>
          <w:rFonts w:eastAsia="仿宋"/>
          <w:b w:val="0"/>
          <w:bCs w:val="0"/>
          <w:kern w:val="2"/>
          <w:sz w:val="28"/>
          <w:szCs w:val="28"/>
        </w:rPr>
        <w:t>预警</w:t>
      </w:r>
      <w:r>
        <w:rPr>
          <w:rFonts w:eastAsia="仿宋"/>
          <w:b w:val="0"/>
          <w:bCs w:val="0"/>
          <w:sz w:val="28"/>
          <w:szCs w:val="28"/>
        </w:rPr>
        <w:t>现场得到控制，并无续发可能的，预警解除；Ⅳ级</w:t>
      </w:r>
      <w:r>
        <w:rPr>
          <w:rFonts w:eastAsia="仿宋"/>
          <w:b w:val="0"/>
          <w:bCs w:val="0"/>
          <w:kern w:val="2"/>
          <w:sz w:val="28"/>
          <w:szCs w:val="28"/>
        </w:rPr>
        <w:t>预警</w:t>
      </w:r>
      <w:r>
        <w:rPr>
          <w:rFonts w:eastAsia="仿宋"/>
          <w:b w:val="0"/>
          <w:bCs w:val="0"/>
          <w:sz w:val="28"/>
          <w:szCs w:val="28"/>
        </w:rPr>
        <w:t>现场得到控制，但符合Ⅲ级</w:t>
      </w:r>
      <w:r>
        <w:rPr>
          <w:rFonts w:eastAsia="仿宋"/>
          <w:b w:val="0"/>
          <w:bCs w:val="0"/>
          <w:kern w:val="2"/>
          <w:sz w:val="28"/>
          <w:szCs w:val="28"/>
        </w:rPr>
        <w:t>预警</w:t>
      </w:r>
      <w:r>
        <w:rPr>
          <w:rFonts w:eastAsia="仿宋"/>
          <w:b w:val="0"/>
          <w:bCs w:val="0"/>
          <w:sz w:val="28"/>
          <w:szCs w:val="28"/>
        </w:rPr>
        <w:t>的，需启动Ⅲ级</w:t>
      </w:r>
      <w:r>
        <w:rPr>
          <w:rFonts w:eastAsia="仿宋"/>
          <w:b w:val="0"/>
          <w:bCs w:val="0"/>
          <w:kern w:val="2"/>
          <w:sz w:val="28"/>
          <w:szCs w:val="28"/>
        </w:rPr>
        <w:t>预警</w:t>
      </w:r>
      <w:r>
        <w:rPr>
          <w:rFonts w:eastAsia="仿宋"/>
          <w:b w:val="0"/>
          <w:bCs w:val="0"/>
          <w:sz w:val="28"/>
          <w:szCs w:val="28"/>
        </w:rPr>
        <w:t>；Ⅳ级</w:t>
      </w:r>
      <w:r>
        <w:rPr>
          <w:rFonts w:eastAsia="仿宋"/>
          <w:b w:val="0"/>
          <w:bCs w:val="0"/>
          <w:kern w:val="2"/>
          <w:sz w:val="28"/>
          <w:szCs w:val="28"/>
        </w:rPr>
        <w:t>预警</w:t>
      </w:r>
      <w:r>
        <w:rPr>
          <w:rFonts w:eastAsia="仿宋"/>
          <w:b w:val="0"/>
          <w:bCs w:val="0"/>
          <w:sz w:val="28"/>
          <w:szCs w:val="28"/>
        </w:rPr>
        <w:t>现场得到控制，但符合Ⅱ级</w:t>
      </w:r>
      <w:r>
        <w:rPr>
          <w:rFonts w:eastAsia="仿宋"/>
          <w:b w:val="0"/>
          <w:bCs w:val="0"/>
          <w:kern w:val="2"/>
          <w:sz w:val="28"/>
          <w:szCs w:val="28"/>
        </w:rPr>
        <w:t>预警</w:t>
      </w:r>
      <w:r>
        <w:rPr>
          <w:rFonts w:eastAsia="仿宋"/>
          <w:b w:val="0"/>
          <w:bCs w:val="0"/>
          <w:sz w:val="28"/>
          <w:szCs w:val="28"/>
        </w:rPr>
        <w:t>的，需启动Ⅱ级</w:t>
      </w:r>
      <w:r>
        <w:rPr>
          <w:rFonts w:eastAsia="仿宋"/>
          <w:b w:val="0"/>
          <w:bCs w:val="0"/>
          <w:kern w:val="2"/>
          <w:sz w:val="28"/>
          <w:szCs w:val="28"/>
        </w:rPr>
        <w:t>预警</w:t>
      </w:r>
      <w:r>
        <w:rPr>
          <w:rFonts w:eastAsia="仿宋"/>
          <w:b w:val="0"/>
          <w:bCs w:val="0"/>
          <w:sz w:val="28"/>
          <w:szCs w:val="28"/>
        </w:rPr>
        <w:t>；Ⅳ级</w:t>
      </w:r>
      <w:r>
        <w:rPr>
          <w:rFonts w:eastAsia="仿宋"/>
          <w:b w:val="0"/>
          <w:bCs w:val="0"/>
          <w:kern w:val="2"/>
          <w:sz w:val="28"/>
          <w:szCs w:val="28"/>
        </w:rPr>
        <w:t>预警</w:t>
      </w:r>
      <w:r>
        <w:rPr>
          <w:rFonts w:eastAsia="仿宋"/>
          <w:b w:val="0"/>
          <w:bCs w:val="0"/>
          <w:sz w:val="28"/>
          <w:szCs w:val="28"/>
        </w:rPr>
        <w:t>现场得到控制，但符合Ⅰ级</w:t>
      </w:r>
      <w:r>
        <w:rPr>
          <w:rFonts w:eastAsia="仿宋"/>
          <w:b w:val="0"/>
          <w:bCs w:val="0"/>
          <w:kern w:val="2"/>
          <w:sz w:val="28"/>
          <w:szCs w:val="28"/>
        </w:rPr>
        <w:t>预警</w:t>
      </w:r>
      <w:r>
        <w:rPr>
          <w:rFonts w:eastAsia="仿宋"/>
          <w:b w:val="0"/>
          <w:bCs w:val="0"/>
          <w:sz w:val="28"/>
          <w:szCs w:val="28"/>
        </w:rPr>
        <w:t>的，需启动Ⅰ级</w:t>
      </w:r>
      <w:r>
        <w:rPr>
          <w:rFonts w:eastAsia="仿宋"/>
          <w:b w:val="0"/>
          <w:bCs w:val="0"/>
          <w:kern w:val="2"/>
          <w:sz w:val="28"/>
          <w:szCs w:val="28"/>
        </w:rPr>
        <w:t>预警</w:t>
      </w:r>
      <w:r>
        <w:rPr>
          <w:rFonts w:eastAsia="仿宋"/>
          <w:b w:val="0"/>
          <w:bCs w:val="0"/>
          <w:sz w:val="28"/>
          <w:szCs w:val="28"/>
        </w:rPr>
        <w:t>。</w:t>
      </w:r>
    </w:p>
    <w:p>
      <w:pPr>
        <w:pStyle w:val="95"/>
        <w:spacing w:line="520" w:lineRule="exact"/>
        <w:ind w:firstLine="562"/>
        <w:jc w:val="both"/>
        <w:rPr>
          <w:rFonts w:eastAsia="仿宋"/>
          <w:b w:val="0"/>
          <w:bCs w:val="0"/>
          <w:sz w:val="28"/>
          <w:szCs w:val="28"/>
        </w:rPr>
      </w:pPr>
      <w:r>
        <w:rPr>
          <w:rFonts w:eastAsia="仿宋"/>
          <w:b w:val="0"/>
          <w:bCs w:val="0"/>
          <w:sz w:val="28"/>
          <w:szCs w:val="28"/>
        </w:rPr>
        <w:t>（2）Ⅲ级</w:t>
      </w:r>
      <w:r>
        <w:rPr>
          <w:rFonts w:eastAsia="仿宋"/>
          <w:b w:val="0"/>
          <w:bCs w:val="0"/>
          <w:kern w:val="2"/>
          <w:sz w:val="28"/>
          <w:szCs w:val="28"/>
        </w:rPr>
        <w:t>预警</w:t>
      </w:r>
      <w:r>
        <w:rPr>
          <w:rFonts w:eastAsia="仿宋"/>
          <w:b w:val="0"/>
          <w:bCs w:val="0"/>
          <w:sz w:val="28"/>
          <w:szCs w:val="28"/>
        </w:rPr>
        <w:t>现场得到控制，并无续发可能的，预警解除；Ⅲ级</w:t>
      </w:r>
      <w:r>
        <w:rPr>
          <w:rFonts w:eastAsia="仿宋"/>
          <w:b w:val="0"/>
          <w:bCs w:val="0"/>
          <w:kern w:val="2"/>
          <w:sz w:val="28"/>
          <w:szCs w:val="28"/>
        </w:rPr>
        <w:t>预警</w:t>
      </w:r>
      <w:r>
        <w:rPr>
          <w:rFonts w:eastAsia="仿宋"/>
          <w:b w:val="0"/>
          <w:bCs w:val="0"/>
          <w:sz w:val="28"/>
          <w:szCs w:val="28"/>
        </w:rPr>
        <w:t>现场得到控制，但符合Ⅱ级</w:t>
      </w:r>
      <w:r>
        <w:rPr>
          <w:rFonts w:eastAsia="仿宋"/>
          <w:b w:val="0"/>
          <w:bCs w:val="0"/>
          <w:kern w:val="2"/>
          <w:sz w:val="28"/>
          <w:szCs w:val="28"/>
        </w:rPr>
        <w:t>预警</w:t>
      </w:r>
      <w:r>
        <w:rPr>
          <w:rFonts w:eastAsia="仿宋"/>
          <w:b w:val="0"/>
          <w:bCs w:val="0"/>
          <w:sz w:val="28"/>
          <w:szCs w:val="28"/>
        </w:rPr>
        <w:t>的，需启动Ⅱ级</w:t>
      </w:r>
      <w:r>
        <w:rPr>
          <w:rFonts w:eastAsia="仿宋"/>
          <w:b w:val="0"/>
          <w:bCs w:val="0"/>
          <w:kern w:val="2"/>
          <w:sz w:val="28"/>
          <w:szCs w:val="28"/>
        </w:rPr>
        <w:t>预警</w:t>
      </w:r>
      <w:r>
        <w:rPr>
          <w:rFonts w:eastAsia="仿宋"/>
          <w:b w:val="0"/>
          <w:bCs w:val="0"/>
          <w:sz w:val="28"/>
          <w:szCs w:val="28"/>
        </w:rPr>
        <w:t>；Ⅲ级</w:t>
      </w:r>
      <w:r>
        <w:rPr>
          <w:rFonts w:eastAsia="仿宋"/>
          <w:b w:val="0"/>
          <w:bCs w:val="0"/>
          <w:kern w:val="2"/>
          <w:sz w:val="28"/>
          <w:szCs w:val="28"/>
        </w:rPr>
        <w:t>预警</w:t>
      </w:r>
      <w:r>
        <w:rPr>
          <w:rFonts w:eastAsia="仿宋"/>
          <w:b w:val="0"/>
          <w:bCs w:val="0"/>
          <w:sz w:val="28"/>
          <w:szCs w:val="28"/>
        </w:rPr>
        <w:t>现场得到控制，但符合Ⅰ级</w:t>
      </w:r>
      <w:r>
        <w:rPr>
          <w:rFonts w:eastAsia="仿宋"/>
          <w:b w:val="0"/>
          <w:bCs w:val="0"/>
          <w:kern w:val="2"/>
          <w:sz w:val="28"/>
          <w:szCs w:val="28"/>
        </w:rPr>
        <w:t>预警</w:t>
      </w:r>
      <w:r>
        <w:rPr>
          <w:rFonts w:eastAsia="仿宋"/>
          <w:b w:val="0"/>
          <w:bCs w:val="0"/>
          <w:sz w:val="28"/>
          <w:szCs w:val="28"/>
        </w:rPr>
        <w:t>的，需启动Ⅰ级</w:t>
      </w:r>
      <w:r>
        <w:rPr>
          <w:rFonts w:eastAsia="仿宋"/>
          <w:b w:val="0"/>
          <w:bCs w:val="0"/>
          <w:kern w:val="2"/>
          <w:sz w:val="28"/>
          <w:szCs w:val="28"/>
        </w:rPr>
        <w:t>预警</w:t>
      </w:r>
      <w:r>
        <w:rPr>
          <w:rFonts w:eastAsia="仿宋"/>
          <w:b w:val="0"/>
          <w:bCs w:val="0"/>
          <w:sz w:val="28"/>
          <w:szCs w:val="28"/>
        </w:rPr>
        <w:t>。</w:t>
      </w:r>
    </w:p>
    <w:p>
      <w:pPr>
        <w:pStyle w:val="95"/>
        <w:spacing w:line="520" w:lineRule="exact"/>
        <w:ind w:firstLine="562"/>
        <w:jc w:val="both"/>
        <w:rPr>
          <w:rFonts w:eastAsia="仿宋"/>
          <w:b w:val="0"/>
          <w:bCs w:val="0"/>
          <w:sz w:val="28"/>
          <w:szCs w:val="28"/>
        </w:rPr>
      </w:pPr>
      <w:r>
        <w:rPr>
          <w:rFonts w:eastAsia="仿宋"/>
          <w:b w:val="0"/>
          <w:bCs w:val="0"/>
          <w:sz w:val="28"/>
          <w:szCs w:val="28"/>
        </w:rPr>
        <w:t>（3）Ⅱ级</w:t>
      </w:r>
      <w:r>
        <w:rPr>
          <w:rFonts w:eastAsia="仿宋"/>
          <w:b w:val="0"/>
          <w:bCs w:val="0"/>
          <w:kern w:val="2"/>
          <w:sz w:val="28"/>
          <w:szCs w:val="28"/>
        </w:rPr>
        <w:t>预警</w:t>
      </w:r>
      <w:r>
        <w:rPr>
          <w:rFonts w:eastAsia="仿宋"/>
          <w:b w:val="0"/>
          <w:bCs w:val="0"/>
          <w:sz w:val="28"/>
          <w:szCs w:val="28"/>
        </w:rPr>
        <w:t>现场得到控制，并无续发可能的，预警解除；Ⅱ级</w:t>
      </w:r>
      <w:r>
        <w:rPr>
          <w:rFonts w:eastAsia="仿宋"/>
          <w:b w:val="0"/>
          <w:bCs w:val="0"/>
          <w:kern w:val="2"/>
          <w:sz w:val="28"/>
          <w:szCs w:val="28"/>
        </w:rPr>
        <w:t>预警</w:t>
      </w:r>
      <w:r>
        <w:rPr>
          <w:rFonts w:eastAsia="仿宋"/>
          <w:b w:val="0"/>
          <w:bCs w:val="0"/>
          <w:sz w:val="28"/>
          <w:szCs w:val="28"/>
        </w:rPr>
        <w:t>现场得到控制，但符合Ⅰ级</w:t>
      </w:r>
      <w:r>
        <w:rPr>
          <w:rFonts w:eastAsia="仿宋"/>
          <w:b w:val="0"/>
          <w:bCs w:val="0"/>
          <w:kern w:val="2"/>
          <w:sz w:val="28"/>
          <w:szCs w:val="28"/>
        </w:rPr>
        <w:t>预警</w:t>
      </w:r>
      <w:r>
        <w:rPr>
          <w:rFonts w:eastAsia="仿宋"/>
          <w:b w:val="0"/>
          <w:bCs w:val="0"/>
          <w:sz w:val="28"/>
          <w:szCs w:val="28"/>
        </w:rPr>
        <w:t>的，需启动Ⅰ级</w:t>
      </w:r>
      <w:r>
        <w:rPr>
          <w:rFonts w:eastAsia="仿宋"/>
          <w:b w:val="0"/>
          <w:bCs w:val="0"/>
          <w:kern w:val="2"/>
          <w:sz w:val="28"/>
          <w:szCs w:val="28"/>
        </w:rPr>
        <w:t>预警</w:t>
      </w:r>
      <w:r>
        <w:rPr>
          <w:rFonts w:eastAsia="仿宋"/>
          <w:b w:val="0"/>
          <w:bCs w:val="0"/>
          <w:sz w:val="28"/>
          <w:szCs w:val="28"/>
        </w:rPr>
        <w:t>。</w:t>
      </w:r>
    </w:p>
    <w:p>
      <w:pPr>
        <w:pStyle w:val="95"/>
        <w:spacing w:line="520" w:lineRule="exact"/>
        <w:ind w:firstLine="562"/>
        <w:jc w:val="both"/>
        <w:rPr>
          <w:rFonts w:eastAsia="仿宋"/>
          <w:b w:val="0"/>
          <w:bCs w:val="0"/>
          <w:sz w:val="28"/>
          <w:szCs w:val="28"/>
        </w:rPr>
      </w:pPr>
      <w:r>
        <w:rPr>
          <w:rFonts w:eastAsia="仿宋"/>
          <w:b w:val="0"/>
          <w:bCs w:val="0"/>
          <w:sz w:val="28"/>
          <w:szCs w:val="28"/>
        </w:rPr>
        <w:t>（4）Ⅰ级</w:t>
      </w:r>
      <w:r>
        <w:rPr>
          <w:rFonts w:eastAsia="仿宋"/>
          <w:b w:val="0"/>
          <w:bCs w:val="0"/>
          <w:kern w:val="2"/>
          <w:sz w:val="28"/>
          <w:szCs w:val="28"/>
        </w:rPr>
        <w:t>预警</w:t>
      </w:r>
      <w:r>
        <w:rPr>
          <w:rFonts w:eastAsia="仿宋"/>
          <w:b w:val="0"/>
          <w:bCs w:val="0"/>
          <w:sz w:val="28"/>
          <w:szCs w:val="28"/>
        </w:rPr>
        <w:t>现场得到控制，并无续发可能的，预警解除；Ⅰ级</w:t>
      </w:r>
      <w:r>
        <w:rPr>
          <w:rFonts w:eastAsia="仿宋"/>
          <w:b w:val="0"/>
          <w:bCs w:val="0"/>
          <w:kern w:val="2"/>
          <w:sz w:val="28"/>
          <w:szCs w:val="28"/>
        </w:rPr>
        <w:t>预警</w:t>
      </w:r>
      <w:r>
        <w:rPr>
          <w:rFonts w:eastAsia="仿宋"/>
          <w:b w:val="0"/>
          <w:bCs w:val="0"/>
          <w:sz w:val="28"/>
          <w:szCs w:val="28"/>
        </w:rPr>
        <w:t>现场得到控制，但符合</w:t>
      </w:r>
      <w:r>
        <w:rPr>
          <w:rFonts w:hint="eastAsia" w:eastAsia="仿宋"/>
          <w:b w:val="0"/>
          <w:bCs w:val="0"/>
          <w:sz w:val="28"/>
          <w:szCs w:val="28"/>
          <w:lang w:eastAsia="zh-CN"/>
        </w:rPr>
        <w:t>远安县</w:t>
      </w:r>
      <w:r>
        <w:rPr>
          <w:rFonts w:eastAsia="仿宋"/>
          <w:b w:val="0"/>
          <w:bCs w:val="0"/>
          <w:sz w:val="28"/>
          <w:szCs w:val="28"/>
        </w:rPr>
        <w:t>预警的，需上报相关部门。</w:t>
      </w:r>
    </w:p>
    <w:p>
      <w:pPr>
        <w:pStyle w:val="95"/>
        <w:spacing w:line="520" w:lineRule="exact"/>
        <w:ind w:firstLine="562"/>
        <w:jc w:val="both"/>
        <w:rPr>
          <w:rFonts w:eastAsia="仿宋"/>
          <w:b w:val="0"/>
          <w:bCs w:val="0"/>
          <w:sz w:val="28"/>
          <w:szCs w:val="28"/>
        </w:rPr>
      </w:pPr>
      <w:r>
        <w:rPr>
          <w:rFonts w:eastAsia="仿宋"/>
          <w:b w:val="0"/>
          <w:bCs w:val="0"/>
          <w:sz w:val="28"/>
          <w:szCs w:val="28"/>
        </w:rPr>
        <w:t>此外，经对突发事件进行跟踪监测并对监测信息进行分析评估，上述引起预警的条件消除和各类隐患排除后，应急指挥中心宣布解除预警。</w:t>
      </w:r>
    </w:p>
    <w:p>
      <w:pPr>
        <w:pStyle w:val="95"/>
        <w:spacing w:line="520" w:lineRule="exact"/>
        <w:ind w:firstLine="562"/>
        <w:jc w:val="both"/>
        <w:rPr>
          <w:rFonts w:eastAsia="仿宋"/>
          <w:b w:val="0"/>
          <w:bCs w:val="0"/>
          <w:sz w:val="28"/>
          <w:szCs w:val="28"/>
        </w:rPr>
      </w:pPr>
      <w:r>
        <w:rPr>
          <w:rFonts w:eastAsia="仿宋"/>
          <w:b w:val="0"/>
          <w:bCs w:val="0"/>
          <w:sz w:val="28"/>
          <w:szCs w:val="28"/>
        </w:rPr>
        <w:t>公司应急指挥部根据收集的相关信息并经过核实后，向应急领导小组详细说明环境污染事件的控制和处理情况，并提出申请结束预警建议，由公司应急领导小组结束条件决定结束预警。预警结束的方式采用会议方式进行。</w:t>
      </w:r>
    </w:p>
    <w:p>
      <w:pPr>
        <w:pStyle w:val="5"/>
        <w:spacing w:beforeLines="0" w:afterLines="0" w:line="520" w:lineRule="exact"/>
        <w:ind w:left="0" w:firstLine="0"/>
        <w:rPr>
          <w:rFonts w:eastAsia="仿宋"/>
        </w:rPr>
      </w:pPr>
      <w:r>
        <w:rPr>
          <w:rFonts w:hAnsi="仿宋" w:eastAsia="仿宋"/>
          <w:sz w:val="28"/>
          <w:szCs w:val="28"/>
        </w:rPr>
        <w:br w:type="page"/>
      </w:r>
      <w:bookmarkStart w:id="79" w:name="_Toc1184"/>
      <w:r>
        <w:rPr>
          <w:rFonts w:hint="eastAsia" w:hAnsi="仿宋" w:eastAsia="仿宋"/>
        </w:rPr>
        <w:t>信息报告和通告</w:t>
      </w:r>
      <w:bookmarkEnd w:id="79"/>
    </w:p>
    <w:p>
      <w:pPr>
        <w:pStyle w:val="6"/>
        <w:spacing w:before="0" w:beforeAutospacing="0" w:line="520" w:lineRule="exact"/>
        <w:ind w:left="0" w:firstLine="0"/>
        <w:rPr>
          <w:rFonts w:hAnsi="仿宋" w:eastAsia="仿宋"/>
        </w:rPr>
      </w:pPr>
      <w:bookmarkStart w:id="80" w:name="_Toc14642"/>
      <w:r>
        <w:rPr>
          <w:rFonts w:hint="eastAsia" w:hAnsi="仿宋" w:eastAsia="仿宋"/>
        </w:rPr>
        <w:t>内容上报</w:t>
      </w:r>
      <w:bookmarkEnd w:id="80"/>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公司内部信息报告</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（1）事故发生后，现场人员立即向有关负责人报告，按照事故发现人、现场负责人、办公室负责人、公司领导顺序逐级上报；</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（2）发生环保事故、人员伤亡，事故部门责任人应在第一时间向办公室、分管领导、公司领导进行汇报；</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（3）公司应急预案救援主要通过电话报警，指挥部通过电话或对讲机发布应急救援命令；</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（4）发生未遂事故，现场处置结束后，事故部门、办公室应及时将事故情况向公司领导、有关部门汇报，发布取消应急状态指令；</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（5）公司24小时应急值守电话：</w:t>
      </w:r>
      <w:r>
        <w:rPr>
          <w:rFonts w:hint="eastAsia" w:ascii="Times New Roman" w:hAnsi="Times New Roman" w:eastAsia="仿宋"/>
          <w:szCs w:val="21"/>
          <w:highlight w:val="none"/>
          <w:lang w:val="en-US" w:eastAsia="zh-CN"/>
        </w:rPr>
        <w:t>XXX</w:t>
      </w:r>
      <w:r>
        <w:rPr>
          <w:rFonts w:hint="eastAsia" w:hAnsi="仿宋" w:eastAsia="仿宋"/>
          <w:b w:val="0"/>
          <w:bCs w:val="0"/>
          <w:sz w:val="28"/>
          <w:szCs w:val="28"/>
        </w:rPr>
        <w:t>。</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外部报告时限要求及程序</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环境安全事故发生后，现场的负责人应当迅速掌握信息各项要素，10分钟内向公司应急办公室电话报告，由应急总指挥或副总指挥掌握情况后，按照市政府信息报告时效要求，部署有关电话报告和书面报告。</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应急指挥部需根据事态及时做出报警求救（火警119、急救120）决定。对外报警以外线电话（手机）为主，报警时要说清楚以下内容：报警人姓名，单位详细名称、地址、附近典型标志，事故的简要经过，事故已经造成或可能造成的伤亡人数（包括下落不明的人数）和初步估计的直接经济损失等，并派专人接引各种救援车辆。</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报告内容</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突发环境事件报告内容包括：</w:t>
      </w:r>
    </w:p>
    <w:p>
      <w:pPr>
        <w:pStyle w:val="95"/>
        <w:numPr>
          <w:ilvl w:val="0"/>
          <w:numId w:val="6"/>
        </w:numPr>
        <w:spacing w:line="520" w:lineRule="exact"/>
        <w:ind w:firstLine="562"/>
        <w:jc w:val="both"/>
        <w:rPr>
          <w:rFonts w:hAnsi="仿宋" w:eastAsia="仿宋"/>
          <w:b w:val="0"/>
          <w:bCs w:val="0"/>
          <w:sz w:val="28"/>
          <w:szCs w:val="28"/>
        </w:rPr>
      </w:pPr>
      <w:r>
        <w:rPr>
          <w:rFonts w:hint="eastAsia" w:hAnsi="仿宋" w:eastAsia="仿宋"/>
          <w:b w:val="0"/>
          <w:bCs w:val="0"/>
          <w:sz w:val="28"/>
          <w:szCs w:val="28"/>
        </w:rPr>
        <w:t>事件发生的时间、地点、类型；</w:t>
      </w:r>
    </w:p>
    <w:p>
      <w:pPr>
        <w:pStyle w:val="95"/>
        <w:numPr>
          <w:ilvl w:val="0"/>
          <w:numId w:val="6"/>
        </w:numPr>
        <w:spacing w:line="520" w:lineRule="exact"/>
        <w:ind w:firstLine="562"/>
        <w:jc w:val="both"/>
        <w:rPr>
          <w:rFonts w:hAnsi="仿宋" w:eastAsia="仿宋"/>
          <w:b w:val="0"/>
          <w:bCs w:val="0"/>
          <w:sz w:val="28"/>
          <w:szCs w:val="28"/>
        </w:rPr>
      </w:pPr>
      <w:r>
        <w:rPr>
          <w:rFonts w:hint="eastAsia" w:hAnsi="仿宋" w:eastAsia="仿宋"/>
          <w:b w:val="0"/>
          <w:bCs w:val="0"/>
          <w:sz w:val="28"/>
          <w:szCs w:val="28"/>
        </w:rPr>
        <w:t>排放污染物的种类、数量；</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（3）直接人员伤亡和经济损失；</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（4）已采取的应急措施，已污染的范围，潜在的危害程度，转化方式趋向；</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（5）可能受影响区域及采取的措施建议。</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报告方式</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突发环境事件的报告分为初报、续报和处理结果报告三类。</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初报可用电话报告。主要内容为：突发环境事件的类型、发生时间、地点及部位、污染源、主要污染物质、人员及环境受害情况、事件潜在的危害程度、转化方式趋向等初步情况。</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续报可通过网络或书面报告。在初报的基础上报告有关确切数据，事件发生的原因、过程、进展情况及采取的应急措施等基本情况。</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处理结果报告采用书面报告。处理结果报告在初报和续报的基础上，报告处理事件的措施、过程和结果，事件潜在或间接的危害、社会影响、处理后的遗留问题，参加处理工作的有关部门和工作内容，出具有关危害与损失的证明文件等详细情况。</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通报可能影响的区域</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在发生事故后，由公司应急救援指挥部副总指挥如实向政府有关部门及周边企业报告事故情况。</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对于可能受到污染的区域，要提前通知被报告人知道所发生事故的性质、发生频率以及发生后的应急措施。应急指挥部根据发生事故的性质、事故当天的风向、风速及影响范围，要及时通知可能受影响的区域，做好应对环境风险的措施或进行紧急疏散。企业可以通过口头、电话、扩音器喊话等方式向周围单位发出求救信息。</w:t>
      </w:r>
    </w:p>
    <w:p>
      <w:pPr>
        <w:pStyle w:val="6"/>
        <w:spacing w:before="0" w:beforeAutospacing="0" w:line="520" w:lineRule="exact"/>
        <w:ind w:left="0" w:firstLine="0"/>
        <w:rPr>
          <w:rFonts w:hAnsi="仿宋" w:eastAsia="仿宋"/>
        </w:rPr>
      </w:pPr>
      <w:bookmarkStart w:id="81" w:name="_Toc20704"/>
      <w:r>
        <w:rPr>
          <w:rFonts w:hint="eastAsia" w:hAnsi="仿宋" w:eastAsia="仿宋"/>
        </w:rPr>
        <w:t>信息上报</w:t>
      </w:r>
      <w:bookmarkEnd w:id="81"/>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（1）发生较大事故后，总指挥指示相关部门于事发后一小时内向宜昌市生态环境局</w:t>
      </w:r>
      <w:r>
        <w:rPr>
          <w:rFonts w:hint="eastAsia" w:hAnsi="仿宋" w:eastAsia="仿宋"/>
          <w:b w:val="0"/>
          <w:bCs w:val="0"/>
          <w:sz w:val="28"/>
          <w:szCs w:val="28"/>
          <w:lang w:eastAsia="zh-CN"/>
        </w:rPr>
        <w:t>远安县</w:t>
      </w:r>
      <w:r>
        <w:rPr>
          <w:rFonts w:hint="eastAsia" w:hAnsi="仿宋" w:eastAsia="仿宋"/>
          <w:b w:val="0"/>
          <w:bCs w:val="0"/>
          <w:sz w:val="28"/>
          <w:szCs w:val="28"/>
        </w:rPr>
        <w:t>分局报告事故情况；</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（2）报告内容：事发单位、事发时间、事发地点、伤亡、损失情况、应急救援情况、初步原因分析等。</w:t>
      </w:r>
    </w:p>
    <w:p>
      <w:pPr>
        <w:pStyle w:val="6"/>
        <w:spacing w:before="0" w:beforeAutospacing="0" w:line="520" w:lineRule="exact"/>
        <w:ind w:left="0" w:firstLine="0"/>
        <w:rPr>
          <w:rFonts w:hAnsi="仿宋" w:eastAsia="仿宋"/>
        </w:rPr>
      </w:pPr>
      <w:bookmarkStart w:id="82" w:name="_Toc2392"/>
      <w:r>
        <w:rPr>
          <w:rFonts w:hint="eastAsia" w:hAnsi="仿宋" w:eastAsia="仿宋"/>
        </w:rPr>
        <w:t>信息通报的联络方式</w:t>
      </w:r>
      <w:bookmarkEnd w:id="82"/>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公司24小时应急值守电话：</w:t>
      </w:r>
      <w:r>
        <w:rPr>
          <w:rFonts w:hint="eastAsia" w:ascii="Times New Roman" w:hAnsi="Times New Roman" w:eastAsia="仿宋"/>
          <w:szCs w:val="21"/>
          <w:highlight w:val="none"/>
          <w:lang w:val="en-US" w:eastAsia="zh-CN"/>
        </w:rPr>
        <w:t>XXX</w:t>
      </w:r>
      <w:r>
        <w:rPr>
          <w:rFonts w:hint="eastAsia" w:hAnsi="仿宋" w:eastAsia="仿宋"/>
          <w:b w:val="0"/>
          <w:bCs w:val="0"/>
          <w:sz w:val="28"/>
          <w:szCs w:val="28"/>
        </w:rPr>
        <w:t>。</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公司应急救援人员之间采用内部和外部电话（包括手机、对讲机等）线路进行联系，应急救援小组的电话必须24小时开机，禁止随意更换电话号码。特殊情况下，电话号码发生变更，必须在变更之日起48小时内向应急指挥中心报告。应急指挥中心必须在24小时内向各成员和部门发布变更通知。</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信息通报单位及联系方式如下表6.3-1。</w:t>
      </w:r>
    </w:p>
    <w:p>
      <w:pPr>
        <w:pStyle w:val="32"/>
        <w:spacing w:line="240" w:lineRule="auto"/>
        <w:rPr>
          <w:rFonts w:eastAsia="仿宋"/>
          <w:b w:val="0"/>
          <w:bCs w:val="0"/>
          <w:snapToGrid/>
          <w:kern w:val="2"/>
          <w:sz w:val="28"/>
          <w:szCs w:val="28"/>
        </w:rPr>
      </w:pPr>
      <w:r>
        <w:rPr>
          <w:rFonts w:hint="eastAsia" w:eastAsia="仿宋"/>
          <w:b w:val="0"/>
          <w:bCs w:val="0"/>
          <w:snapToGrid/>
          <w:kern w:val="2"/>
          <w:sz w:val="28"/>
          <w:szCs w:val="28"/>
        </w:rPr>
        <w:t>表6.3-1  信息通报单位及联系方式</w:t>
      </w:r>
    </w:p>
    <w:tbl>
      <w:tblPr>
        <w:tblStyle w:val="35"/>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19"/>
        <w:gridCol w:w="4562"/>
        <w:gridCol w:w="284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119" w:type="dxa"/>
            <w:noWrap/>
            <w:vAlign w:val="center"/>
          </w:tcPr>
          <w:p>
            <w:pPr>
              <w:pStyle w:val="95"/>
              <w:ind w:firstLine="0" w:firstLineChars="0"/>
              <w:jc w:val="center"/>
              <w:rPr>
                <w:rFonts w:eastAsia="仿宋"/>
                <w:bCs w:val="0"/>
                <w:sz w:val="21"/>
                <w:szCs w:val="21"/>
                <w:lang w:val="en-US" w:eastAsia="zh-CN"/>
              </w:rPr>
            </w:pPr>
            <w:r>
              <w:rPr>
                <w:rFonts w:eastAsia="仿宋"/>
                <w:bCs w:val="0"/>
                <w:sz w:val="21"/>
                <w:szCs w:val="21"/>
                <w:lang w:val="en-US" w:eastAsia="zh-CN"/>
              </w:rPr>
              <w:t>序号</w:t>
            </w:r>
          </w:p>
        </w:tc>
        <w:tc>
          <w:tcPr>
            <w:tcW w:w="4562" w:type="dxa"/>
            <w:noWrap/>
            <w:vAlign w:val="center"/>
          </w:tcPr>
          <w:p>
            <w:pPr>
              <w:pStyle w:val="95"/>
              <w:ind w:firstLine="0" w:firstLineChars="0"/>
              <w:jc w:val="center"/>
              <w:rPr>
                <w:rFonts w:eastAsia="仿宋"/>
                <w:bCs w:val="0"/>
                <w:sz w:val="21"/>
                <w:szCs w:val="21"/>
                <w:lang w:val="en-US" w:eastAsia="zh-CN"/>
              </w:rPr>
            </w:pPr>
            <w:r>
              <w:rPr>
                <w:rFonts w:eastAsia="仿宋"/>
                <w:bCs w:val="0"/>
                <w:sz w:val="21"/>
                <w:szCs w:val="21"/>
                <w:lang w:val="en-US" w:eastAsia="zh-CN"/>
              </w:rPr>
              <w:t>应急机构</w:t>
            </w:r>
          </w:p>
        </w:tc>
        <w:tc>
          <w:tcPr>
            <w:tcW w:w="2841" w:type="dxa"/>
            <w:noWrap/>
            <w:vAlign w:val="center"/>
          </w:tcPr>
          <w:p>
            <w:pPr>
              <w:pStyle w:val="95"/>
              <w:ind w:firstLine="0" w:firstLineChars="0"/>
              <w:jc w:val="center"/>
              <w:rPr>
                <w:rFonts w:eastAsia="仿宋"/>
                <w:bCs w:val="0"/>
                <w:sz w:val="21"/>
                <w:szCs w:val="21"/>
                <w:lang w:val="en-US" w:eastAsia="zh-CN"/>
              </w:rPr>
            </w:pPr>
            <w:r>
              <w:rPr>
                <w:rFonts w:eastAsia="仿宋"/>
                <w:bCs w:val="0"/>
                <w:sz w:val="21"/>
                <w:szCs w:val="21"/>
                <w:lang w:val="en-US" w:eastAsia="zh-CN"/>
              </w:rPr>
              <w:t>联系电话</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19" w:type="dxa"/>
            <w:noWrap/>
            <w:vAlign w:val="center"/>
          </w:tcPr>
          <w:p>
            <w:pPr>
              <w:pStyle w:val="95"/>
              <w:ind w:firstLine="0" w:firstLineChars="0"/>
              <w:jc w:val="center"/>
              <w:rPr>
                <w:rFonts w:eastAsia="仿宋"/>
                <w:b w:val="0"/>
                <w:sz w:val="21"/>
                <w:szCs w:val="21"/>
                <w:lang w:val="en-US" w:eastAsia="zh-CN"/>
              </w:rPr>
            </w:pPr>
            <w:r>
              <w:rPr>
                <w:rFonts w:eastAsia="仿宋"/>
                <w:b w:val="0"/>
                <w:sz w:val="21"/>
                <w:szCs w:val="21"/>
                <w:lang w:val="en-US" w:eastAsia="zh-CN"/>
              </w:rPr>
              <w:t>1</w:t>
            </w:r>
          </w:p>
        </w:tc>
        <w:tc>
          <w:tcPr>
            <w:tcW w:w="4562" w:type="dxa"/>
            <w:noWrap/>
            <w:vAlign w:val="center"/>
          </w:tcPr>
          <w:p>
            <w:pPr>
              <w:pStyle w:val="95"/>
              <w:ind w:firstLine="0" w:firstLineChars="0"/>
              <w:jc w:val="center"/>
              <w:rPr>
                <w:rFonts w:eastAsia="仿宋"/>
                <w:b w:val="0"/>
                <w:sz w:val="21"/>
                <w:szCs w:val="21"/>
                <w:lang w:val="en-US" w:eastAsia="zh-CN"/>
              </w:rPr>
            </w:pPr>
            <w:r>
              <w:rPr>
                <w:rFonts w:hint="eastAsia" w:eastAsia="仿宋"/>
                <w:b w:val="0"/>
                <w:sz w:val="21"/>
                <w:szCs w:val="21"/>
                <w:lang w:val="en-US" w:eastAsia="zh-CN"/>
              </w:rPr>
              <w:t>远安县</w:t>
            </w:r>
            <w:r>
              <w:rPr>
                <w:rFonts w:eastAsia="仿宋"/>
                <w:b w:val="0"/>
                <w:sz w:val="21"/>
                <w:szCs w:val="21"/>
                <w:lang w:val="en-US" w:eastAsia="zh-CN"/>
              </w:rPr>
              <w:t>人民政府</w:t>
            </w:r>
          </w:p>
        </w:tc>
        <w:tc>
          <w:tcPr>
            <w:tcW w:w="2841" w:type="dxa"/>
            <w:noWrap/>
            <w:vAlign w:val="center"/>
          </w:tcPr>
          <w:p>
            <w:pPr>
              <w:ind w:firstLine="0" w:firstLineChars="0"/>
              <w:jc w:val="center"/>
              <w:rPr>
                <w:rFonts w:eastAsia="仿宋"/>
                <w:b w:val="0"/>
                <w:sz w:val="21"/>
                <w:szCs w:val="21"/>
                <w:lang w:val="en-US" w:eastAsia="zh-CN"/>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19" w:type="dxa"/>
            <w:noWrap/>
            <w:vAlign w:val="center"/>
          </w:tcPr>
          <w:p>
            <w:pPr>
              <w:pStyle w:val="95"/>
              <w:ind w:firstLine="0" w:firstLineChars="0"/>
              <w:jc w:val="center"/>
              <w:rPr>
                <w:rFonts w:eastAsia="仿宋"/>
                <w:b w:val="0"/>
                <w:sz w:val="21"/>
                <w:szCs w:val="21"/>
                <w:lang w:val="en-US" w:eastAsia="zh-CN"/>
              </w:rPr>
            </w:pPr>
            <w:r>
              <w:rPr>
                <w:rFonts w:eastAsia="仿宋"/>
                <w:b w:val="0"/>
                <w:sz w:val="21"/>
                <w:szCs w:val="21"/>
                <w:lang w:val="en-US" w:eastAsia="zh-CN"/>
              </w:rPr>
              <w:t>2</w:t>
            </w:r>
          </w:p>
        </w:tc>
        <w:tc>
          <w:tcPr>
            <w:tcW w:w="4562" w:type="dxa"/>
            <w:noWrap/>
            <w:vAlign w:val="center"/>
          </w:tcPr>
          <w:p>
            <w:pPr>
              <w:pStyle w:val="95"/>
              <w:ind w:firstLine="0" w:firstLineChars="0"/>
              <w:jc w:val="center"/>
              <w:rPr>
                <w:rFonts w:eastAsia="仿宋"/>
                <w:b w:val="0"/>
                <w:sz w:val="21"/>
                <w:szCs w:val="21"/>
                <w:lang w:val="en-US" w:eastAsia="zh-CN"/>
              </w:rPr>
            </w:pPr>
            <w:r>
              <w:rPr>
                <w:rFonts w:eastAsia="仿宋"/>
                <w:b w:val="0"/>
                <w:sz w:val="21"/>
                <w:szCs w:val="21"/>
                <w:lang w:val="en-US" w:eastAsia="zh-CN"/>
              </w:rPr>
              <w:t>宜昌市生态环境局</w:t>
            </w:r>
            <w:r>
              <w:rPr>
                <w:rFonts w:hint="eastAsia" w:eastAsia="仿宋"/>
                <w:b w:val="0"/>
                <w:sz w:val="21"/>
                <w:szCs w:val="21"/>
                <w:lang w:val="en-US" w:eastAsia="zh-CN"/>
              </w:rPr>
              <w:t>远安县</w:t>
            </w:r>
            <w:r>
              <w:rPr>
                <w:rFonts w:eastAsia="仿宋"/>
                <w:b w:val="0"/>
                <w:sz w:val="21"/>
                <w:szCs w:val="21"/>
                <w:lang w:val="en-US" w:eastAsia="zh-CN"/>
              </w:rPr>
              <w:t>分局</w:t>
            </w:r>
          </w:p>
        </w:tc>
        <w:tc>
          <w:tcPr>
            <w:tcW w:w="2841" w:type="dxa"/>
            <w:noWrap/>
            <w:vAlign w:val="center"/>
          </w:tcPr>
          <w:p>
            <w:pPr>
              <w:ind w:firstLine="0" w:firstLineChars="0"/>
              <w:jc w:val="center"/>
              <w:rPr>
                <w:rFonts w:eastAsia="仿宋"/>
                <w:b w:val="0"/>
                <w:sz w:val="21"/>
                <w:szCs w:val="21"/>
                <w:lang w:val="en-US" w:eastAsia="zh-CN"/>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19" w:type="dxa"/>
            <w:noWrap/>
            <w:vAlign w:val="center"/>
          </w:tcPr>
          <w:p>
            <w:pPr>
              <w:pStyle w:val="95"/>
              <w:ind w:firstLine="0" w:firstLineChars="0"/>
              <w:jc w:val="center"/>
              <w:rPr>
                <w:rFonts w:eastAsia="仿宋"/>
                <w:b w:val="0"/>
                <w:sz w:val="21"/>
                <w:szCs w:val="21"/>
                <w:lang w:val="en-US" w:eastAsia="zh-CN"/>
              </w:rPr>
            </w:pPr>
            <w:r>
              <w:rPr>
                <w:rFonts w:eastAsia="仿宋"/>
                <w:b w:val="0"/>
                <w:sz w:val="21"/>
                <w:szCs w:val="21"/>
                <w:lang w:val="en-US" w:eastAsia="zh-CN"/>
              </w:rPr>
              <w:t>3</w:t>
            </w:r>
          </w:p>
        </w:tc>
        <w:tc>
          <w:tcPr>
            <w:tcW w:w="4562" w:type="dxa"/>
            <w:noWrap/>
            <w:vAlign w:val="center"/>
          </w:tcPr>
          <w:p>
            <w:pPr>
              <w:pStyle w:val="95"/>
              <w:ind w:firstLine="0" w:firstLineChars="0"/>
              <w:jc w:val="center"/>
              <w:rPr>
                <w:rFonts w:eastAsia="仿宋"/>
                <w:b w:val="0"/>
                <w:sz w:val="21"/>
                <w:szCs w:val="21"/>
                <w:lang w:val="en-US" w:eastAsia="zh-CN"/>
              </w:rPr>
            </w:pPr>
            <w:r>
              <w:rPr>
                <w:rFonts w:eastAsia="仿宋"/>
                <w:b w:val="0"/>
                <w:sz w:val="21"/>
                <w:szCs w:val="21"/>
                <w:lang w:val="en-US" w:eastAsia="zh-CN"/>
              </w:rPr>
              <w:t>宜昌市环境监测站</w:t>
            </w:r>
          </w:p>
        </w:tc>
        <w:tc>
          <w:tcPr>
            <w:tcW w:w="2841" w:type="dxa"/>
            <w:noWrap/>
            <w:vAlign w:val="center"/>
          </w:tcPr>
          <w:p>
            <w:pPr>
              <w:ind w:firstLine="0" w:firstLineChars="0"/>
              <w:jc w:val="center"/>
              <w:rPr>
                <w:rFonts w:eastAsia="仿宋"/>
                <w:b w:val="0"/>
                <w:sz w:val="21"/>
                <w:szCs w:val="21"/>
                <w:lang w:val="en-US" w:eastAsia="zh-CN"/>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19" w:type="dxa"/>
            <w:noWrap/>
            <w:vAlign w:val="center"/>
          </w:tcPr>
          <w:p>
            <w:pPr>
              <w:pStyle w:val="95"/>
              <w:ind w:firstLine="0" w:firstLineChars="0"/>
              <w:jc w:val="center"/>
              <w:rPr>
                <w:rFonts w:eastAsia="仿宋"/>
                <w:b w:val="0"/>
                <w:sz w:val="21"/>
                <w:szCs w:val="21"/>
                <w:lang w:val="en-US" w:eastAsia="zh-CN"/>
              </w:rPr>
            </w:pPr>
            <w:r>
              <w:rPr>
                <w:rFonts w:eastAsia="仿宋"/>
                <w:b w:val="0"/>
                <w:sz w:val="21"/>
                <w:szCs w:val="21"/>
                <w:lang w:val="en-US" w:eastAsia="zh-CN"/>
              </w:rPr>
              <w:t>4</w:t>
            </w:r>
          </w:p>
        </w:tc>
        <w:tc>
          <w:tcPr>
            <w:tcW w:w="4562" w:type="dxa"/>
            <w:noWrap/>
            <w:vAlign w:val="center"/>
          </w:tcPr>
          <w:p>
            <w:pPr>
              <w:pStyle w:val="95"/>
              <w:ind w:firstLine="0" w:firstLineChars="0"/>
              <w:jc w:val="center"/>
              <w:rPr>
                <w:rFonts w:eastAsia="仿宋"/>
                <w:b w:val="0"/>
                <w:sz w:val="21"/>
                <w:szCs w:val="21"/>
                <w:lang w:val="en-US" w:eastAsia="zh-CN"/>
              </w:rPr>
            </w:pPr>
            <w:r>
              <w:rPr>
                <w:rFonts w:eastAsia="仿宋"/>
                <w:b w:val="0"/>
                <w:sz w:val="21"/>
                <w:szCs w:val="21"/>
                <w:lang w:val="en-US" w:eastAsia="zh-CN"/>
              </w:rPr>
              <w:t>宜昌市环保局环境监察支队</w:t>
            </w:r>
          </w:p>
        </w:tc>
        <w:tc>
          <w:tcPr>
            <w:tcW w:w="2841" w:type="dxa"/>
            <w:noWrap/>
            <w:vAlign w:val="center"/>
          </w:tcPr>
          <w:p>
            <w:pPr>
              <w:ind w:firstLine="0" w:firstLineChars="0"/>
              <w:jc w:val="center"/>
              <w:rPr>
                <w:rFonts w:eastAsia="仿宋"/>
                <w:b w:val="0"/>
                <w:sz w:val="21"/>
                <w:szCs w:val="21"/>
                <w:lang w:val="en-US" w:eastAsia="zh-CN"/>
              </w:rPr>
            </w:pPr>
            <w:r>
              <w:rPr>
                <w:rFonts w:hint="eastAsia" w:ascii="Times New Roman" w:hAnsi="Times New Roman" w:eastAsia="仿宋"/>
                <w:szCs w:val="21"/>
                <w:highlight w:val="none"/>
                <w:lang w:val="en-US" w:eastAsia="zh-CN"/>
              </w:rPr>
              <w:t>XXX</w:t>
            </w:r>
          </w:p>
        </w:tc>
      </w:tr>
    </w:tbl>
    <w:p>
      <w:pPr>
        <w:pStyle w:val="95"/>
        <w:ind w:firstLine="0" w:firstLineChars="0"/>
        <w:jc w:val="both"/>
        <w:rPr>
          <w:rFonts w:hAnsi="仿宋" w:eastAsia="仿宋"/>
          <w:sz w:val="28"/>
          <w:szCs w:val="28"/>
        </w:rPr>
      </w:pPr>
    </w:p>
    <w:p>
      <w:pPr>
        <w:pStyle w:val="95"/>
        <w:ind w:firstLine="562"/>
        <w:rPr>
          <w:rFonts w:eastAsia="仿宋"/>
          <w:sz w:val="28"/>
          <w:szCs w:val="28"/>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p>
    <w:p>
      <w:pPr>
        <w:pStyle w:val="5"/>
        <w:spacing w:beforeLines="0" w:afterLines="0" w:line="520" w:lineRule="exact"/>
        <w:ind w:left="0" w:firstLine="0"/>
        <w:rPr>
          <w:rFonts w:eastAsia="仿宋"/>
        </w:rPr>
      </w:pPr>
      <w:bookmarkStart w:id="83" w:name="_Toc16983"/>
      <w:bookmarkStart w:id="84" w:name="_Toc46843274"/>
      <w:r>
        <w:rPr>
          <w:rFonts w:hAnsi="仿宋" w:eastAsia="仿宋"/>
        </w:rPr>
        <w:t>应急响应与处置</w:t>
      </w:r>
      <w:bookmarkEnd w:id="83"/>
      <w:bookmarkEnd w:id="84"/>
    </w:p>
    <w:p>
      <w:pPr>
        <w:pStyle w:val="6"/>
        <w:spacing w:before="0" w:beforeAutospacing="0" w:line="520" w:lineRule="exact"/>
        <w:ind w:left="0" w:firstLine="0"/>
        <w:rPr>
          <w:rFonts w:eastAsia="仿宋"/>
        </w:rPr>
      </w:pPr>
      <w:bookmarkStart w:id="85" w:name="_Toc46843275"/>
      <w:bookmarkStart w:id="86" w:name="_Toc3416"/>
      <w:bookmarkStart w:id="87" w:name="_Toc472856706"/>
      <w:r>
        <w:rPr>
          <w:rFonts w:hAnsi="仿宋" w:eastAsia="仿宋"/>
        </w:rPr>
        <w:t>应急响应分级</w:t>
      </w:r>
      <w:bookmarkEnd w:id="85"/>
      <w:bookmarkEnd w:id="86"/>
      <w:bookmarkEnd w:id="87"/>
    </w:p>
    <w:p>
      <w:pPr>
        <w:pStyle w:val="8"/>
        <w:tabs>
          <w:tab w:val="clear" w:pos="425"/>
        </w:tabs>
        <w:spacing w:line="520" w:lineRule="exact"/>
        <w:ind w:left="0" w:firstLine="0"/>
        <w:rPr>
          <w:rFonts w:eastAsia="仿宋"/>
          <w:sz w:val="28"/>
          <w:szCs w:val="28"/>
        </w:rPr>
      </w:pPr>
      <w:r>
        <w:rPr>
          <w:rFonts w:hAnsi="仿宋" w:eastAsia="仿宋"/>
          <w:sz w:val="28"/>
          <w:szCs w:val="28"/>
        </w:rPr>
        <w:t>先期处置</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环境突发事件应急救援针对事件危害程度、影响范围和单位控制事态的能力，将事件分为不同的等级，按照分级负责的原则，明确应急响应级别。应急响应的过程为接警、应急启动、控制及应急行动、扩大应急、应急终止和后期处置。</w:t>
      </w:r>
    </w:p>
    <w:p>
      <w:pPr>
        <w:pStyle w:val="95"/>
        <w:spacing w:line="520" w:lineRule="exact"/>
        <w:ind w:firstLine="562"/>
        <w:jc w:val="both"/>
        <w:rPr>
          <w:rFonts w:eastAsia="仿宋"/>
          <w:b w:val="0"/>
          <w:bCs w:val="0"/>
          <w:sz w:val="28"/>
          <w:szCs w:val="28"/>
        </w:rPr>
      </w:pPr>
      <w:r>
        <w:rPr>
          <w:rFonts w:hAnsi="仿宋" w:eastAsia="仿宋"/>
          <w:b w:val="0"/>
          <w:bCs w:val="0"/>
          <w:sz w:val="28"/>
          <w:szCs w:val="28"/>
        </w:rPr>
        <w:t>应急指挥组接到发现事故或异常的报警后，应立即启动应急准备工作。包括以下几方面内容：</w:t>
      </w:r>
    </w:p>
    <w:p>
      <w:pPr>
        <w:pStyle w:val="95"/>
        <w:spacing w:line="520" w:lineRule="exact"/>
        <w:ind w:firstLine="562"/>
        <w:jc w:val="both"/>
        <w:rPr>
          <w:rFonts w:eastAsia="仿宋"/>
          <w:b w:val="0"/>
          <w:bCs w:val="0"/>
          <w:sz w:val="28"/>
          <w:szCs w:val="28"/>
        </w:rPr>
      </w:pPr>
      <w:bookmarkStart w:id="88" w:name="_Toc356634479"/>
      <w:r>
        <w:rPr>
          <w:rFonts w:hAnsi="仿宋" w:eastAsia="仿宋"/>
          <w:b w:val="0"/>
          <w:bCs w:val="0"/>
          <w:sz w:val="28"/>
          <w:szCs w:val="28"/>
        </w:rPr>
        <w:t>（</w:t>
      </w:r>
      <w:r>
        <w:rPr>
          <w:rFonts w:eastAsia="仿宋"/>
          <w:b w:val="0"/>
          <w:bCs w:val="0"/>
          <w:sz w:val="28"/>
          <w:szCs w:val="28"/>
        </w:rPr>
        <w:t>1</w:t>
      </w:r>
      <w:r>
        <w:rPr>
          <w:rFonts w:hAnsi="仿宋" w:eastAsia="仿宋"/>
          <w:b w:val="0"/>
          <w:bCs w:val="0"/>
          <w:sz w:val="28"/>
          <w:szCs w:val="28"/>
        </w:rPr>
        <w:t>）事故发生后，现场人员应第一时间拨打应急值班电话请求救援，然后将信息分别报告公司</w:t>
      </w:r>
      <w:r>
        <w:rPr>
          <w:rFonts w:hint="eastAsia" w:hAnsi="仿宋" w:eastAsia="仿宋"/>
          <w:b w:val="0"/>
          <w:bCs w:val="0"/>
          <w:sz w:val="28"/>
          <w:szCs w:val="28"/>
        </w:rPr>
        <w:t>总经理</w:t>
      </w:r>
      <w:r>
        <w:rPr>
          <w:rFonts w:hAnsi="仿宋" w:eastAsia="仿宋"/>
          <w:b w:val="0"/>
          <w:bCs w:val="0"/>
          <w:sz w:val="28"/>
          <w:szCs w:val="28"/>
        </w:rPr>
        <w:t>。在确保人身安全的前提下进行现场抢救，同时保护好事故现场</w:t>
      </w:r>
      <w:bookmarkEnd w:id="88"/>
      <w:r>
        <w:rPr>
          <w:rFonts w:hint="eastAsia" w:hAnsi="仿宋" w:eastAsia="仿宋"/>
          <w:b w:val="0"/>
          <w:bCs w:val="0"/>
          <w:sz w:val="28"/>
          <w:szCs w:val="28"/>
        </w:rPr>
        <w:t>；</w:t>
      </w:r>
    </w:p>
    <w:p>
      <w:pPr>
        <w:pStyle w:val="95"/>
        <w:spacing w:line="520" w:lineRule="exact"/>
        <w:ind w:firstLine="562"/>
        <w:jc w:val="both"/>
        <w:rPr>
          <w:rFonts w:eastAsia="仿宋"/>
          <w:b w:val="0"/>
          <w:bCs w:val="0"/>
          <w:sz w:val="28"/>
          <w:szCs w:val="28"/>
        </w:rPr>
      </w:pPr>
      <w:bookmarkStart w:id="89" w:name="_Toc356634480"/>
      <w:r>
        <w:rPr>
          <w:rFonts w:hAnsi="仿宋" w:eastAsia="仿宋"/>
          <w:b w:val="0"/>
          <w:bCs w:val="0"/>
          <w:sz w:val="28"/>
          <w:szCs w:val="28"/>
        </w:rPr>
        <w:t>（</w:t>
      </w:r>
      <w:r>
        <w:rPr>
          <w:rFonts w:eastAsia="仿宋"/>
          <w:b w:val="0"/>
          <w:bCs w:val="0"/>
          <w:sz w:val="28"/>
          <w:szCs w:val="28"/>
        </w:rPr>
        <w:t>2</w:t>
      </w:r>
      <w:r>
        <w:rPr>
          <w:rFonts w:hAnsi="仿宋" w:eastAsia="仿宋"/>
          <w:b w:val="0"/>
          <w:bCs w:val="0"/>
          <w:sz w:val="28"/>
          <w:szCs w:val="28"/>
        </w:rPr>
        <w:t>）</w:t>
      </w:r>
      <w:r>
        <w:rPr>
          <w:rFonts w:hint="eastAsia" w:hAnsi="仿宋" w:eastAsia="仿宋"/>
          <w:b w:val="0"/>
          <w:bCs w:val="0"/>
          <w:sz w:val="28"/>
          <w:szCs w:val="28"/>
        </w:rPr>
        <w:t>总经理</w:t>
      </w:r>
      <w:r>
        <w:rPr>
          <w:rFonts w:hAnsi="仿宋" w:eastAsia="仿宋"/>
          <w:b w:val="0"/>
          <w:bCs w:val="0"/>
          <w:sz w:val="28"/>
          <w:szCs w:val="28"/>
        </w:rPr>
        <w:t>接到报告后，要立刻查明情况，迅速分析判断，</w:t>
      </w:r>
      <w:r>
        <w:rPr>
          <w:rFonts w:hint="eastAsia" w:hAnsi="仿宋" w:eastAsia="仿宋"/>
          <w:b w:val="0"/>
          <w:bCs w:val="0"/>
          <w:sz w:val="28"/>
          <w:szCs w:val="28"/>
        </w:rPr>
        <w:t>开展</w:t>
      </w:r>
      <w:r>
        <w:rPr>
          <w:rFonts w:hAnsi="仿宋" w:eastAsia="仿宋"/>
          <w:b w:val="0"/>
          <w:bCs w:val="0"/>
          <w:sz w:val="28"/>
          <w:szCs w:val="28"/>
        </w:rPr>
        <w:t>应急指挥，同时启动《现场处置预案》</w:t>
      </w:r>
      <w:bookmarkEnd w:id="89"/>
      <w:r>
        <w:rPr>
          <w:rFonts w:hint="eastAsia" w:hAnsi="仿宋" w:eastAsia="仿宋"/>
          <w:b w:val="0"/>
          <w:bCs w:val="0"/>
          <w:sz w:val="28"/>
          <w:szCs w:val="28"/>
        </w:rPr>
        <w:t>；</w:t>
      </w:r>
    </w:p>
    <w:p>
      <w:pPr>
        <w:pStyle w:val="95"/>
        <w:spacing w:line="520" w:lineRule="exact"/>
        <w:ind w:firstLine="562"/>
        <w:jc w:val="both"/>
        <w:rPr>
          <w:rFonts w:eastAsia="仿宋"/>
          <w:b w:val="0"/>
          <w:bCs w:val="0"/>
          <w:sz w:val="28"/>
          <w:szCs w:val="28"/>
        </w:rPr>
      </w:pPr>
      <w:bookmarkStart w:id="90" w:name="_Toc356634481"/>
      <w:r>
        <w:rPr>
          <w:rFonts w:hAnsi="仿宋" w:eastAsia="仿宋"/>
          <w:b w:val="0"/>
          <w:bCs w:val="0"/>
          <w:sz w:val="28"/>
          <w:szCs w:val="28"/>
        </w:rPr>
        <w:t>（</w:t>
      </w:r>
      <w:r>
        <w:rPr>
          <w:rFonts w:eastAsia="仿宋"/>
          <w:b w:val="0"/>
          <w:bCs w:val="0"/>
          <w:sz w:val="28"/>
          <w:szCs w:val="28"/>
        </w:rPr>
        <w:t>3</w:t>
      </w:r>
      <w:r>
        <w:rPr>
          <w:rFonts w:hAnsi="仿宋" w:eastAsia="仿宋"/>
          <w:b w:val="0"/>
          <w:bCs w:val="0"/>
          <w:sz w:val="28"/>
          <w:szCs w:val="28"/>
        </w:rPr>
        <w:t>）公司应急指挥部成员接到报告后，迅速赶赴现场，根据事态情况确定响应级别</w:t>
      </w:r>
      <w:r>
        <w:rPr>
          <w:rFonts w:hint="eastAsia" w:hAnsi="仿宋" w:eastAsia="仿宋"/>
          <w:b w:val="0"/>
          <w:bCs w:val="0"/>
          <w:sz w:val="28"/>
          <w:szCs w:val="28"/>
        </w:rPr>
        <w:t>；</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4</w:t>
      </w:r>
      <w:r>
        <w:rPr>
          <w:rFonts w:hAnsi="仿宋" w:eastAsia="仿宋"/>
          <w:b w:val="0"/>
          <w:bCs w:val="0"/>
          <w:sz w:val="28"/>
          <w:szCs w:val="28"/>
        </w:rPr>
        <w:t>）依照本预案第</w:t>
      </w:r>
      <w:r>
        <w:rPr>
          <w:rFonts w:hint="eastAsia" w:eastAsia="仿宋"/>
          <w:b w:val="0"/>
          <w:bCs w:val="0"/>
          <w:sz w:val="28"/>
          <w:szCs w:val="28"/>
        </w:rPr>
        <w:t>9</w:t>
      </w:r>
      <w:r>
        <w:rPr>
          <w:rFonts w:hAnsi="仿宋" w:eastAsia="仿宋"/>
          <w:b w:val="0"/>
          <w:bCs w:val="0"/>
          <w:sz w:val="28"/>
          <w:szCs w:val="28"/>
        </w:rPr>
        <w:t>章应急保障，保证各部门应急物资、防护物资清点到位</w:t>
      </w:r>
      <w:r>
        <w:rPr>
          <w:rFonts w:hint="eastAsia" w:hAnsi="仿宋" w:eastAsia="仿宋"/>
          <w:b w:val="0"/>
          <w:bCs w:val="0"/>
          <w:sz w:val="28"/>
          <w:szCs w:val="28"/>
        </w:rPr>
        <w:t>；</w:t>
      </w:r>
    </w:p>
    <w:p>
      <w:pPr>
        <w:pStyle w:val="95"/>
        <w:spacing w:line="520" w:lineRule="exact"/>
        <w:ind w:firstLine="562"/>
        <w:jc w:val="both"/>
        <w:rPr>
          <w:rFonts w:hAnsi="仿宋" w:eastAsia="仿宋"/>
          <w:b w:val="0"/>
          <w:bCs w:val="0"/>
          <w:sz w:val="28"/>
          <w:szCs w:val="28"/>
        </w:rPr>
      </w:pPr>
      <w:r>
        <w:rPr>
          <w:rFonts w:hAnsi="仿宋" w:eastAsia="仿宋"/>
          <w:b w:val="0"/>
          <w:bCs w:val="0"/>
          <w:sz w:val="28"/>
          <w:szCs w:val="28"/>
        </w:rPr>
        <w:t>（</w:t>
      </w:r>
      <w:r>
        <w:rPr>
          <w:rFonts w:eastAsia="仿宋"/>
          <w:b w:val="0"/>
          <w:bCs w:val="0"/>
          <w:sz w:val="28"/>
          <w:szCs w:val="28"/>
        </w:rPr>
        <w:t>5</w:t>
      </w:r>
      <w:r>
        <w:rPr>
          <w:rFonts w:hAnsi="仿宋" w:eastAsia="仿宋"/>
          <w:b w:val="0"/>
          <w:bCs w:val="0"/>
          <w:sz w:val="28"/>
          <w:szCs w:val="28"/>
        </w:rPr>
        <w:t>）生产调度以及各级管理人员必须保持</w:t>
      </w:r>
      <w:r>
        <w:rPr>
          <w:rFonts w:eastAsia="仿宋"/>
          <w:b w:val="0"/>
          <w:bCs w:val="0"/>
          <w:sz w:val="28"/>
          <w:szCs w:val="28"/>
        </w:rPr>
        <w:t>24</w:t>
      </w:r>
      <w:r>
        <w:rPr>
          <w:rFonts w:hAnsi="仿宋" w:eastAsia="仿宋"/>
          <w:b w:val="0"/>
          <w:bCs w:val="0"/>
          <w:sz w:val="28"/>
          <w:szCs w:val="28"/>
        </w:rPr>
        <w:t>小时开通电话，负责事故信息的接受和上一级报告。</w:t>
      </w:r>
      <w:bookmarkEnd w:id="90"/>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扩大或提高应急响应级别的主要依据是：</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①突发环境事件的危险程度；</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②突发环境事件的影响范围；</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③突发环境事件的控制事态能力。</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发生重大的火灾、爆炸事件，总指挥决定扩大应急范围后，立即按程序上报，启动相应级别的应急预案。以现场应急现场指挥为主的原则，具体程序如下：</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（1）最早发现者应立即拨打应急报警电话，并向车间负责人、安环</w:t>
      </w:r>
      <w:r>
        <w:rPr>
          <w:rFonts w:hint="eastAsia" w:hAnsi="仿宋" w:eastAsia="仿宋"/>
          <w:b w:val="0"/>
          <w:bCs w:val="0"/>
          <w:sz w:val="28"/>
          <w:szCs w:val="28"/>
          <w:lang w:eastAsia="zh-CN"/>
        </w:rPr>
        <w:t>部</w:t>
      </w:r>
      <w:r>
        <w:rPr>
          <w:rFonts w:hint="eastAsia" w:hAnsi="仿宋" w:eastAsia="仿宋"/>
          <w:b w:val="0"/>
          <w:bCs w:val="0"/>
          <w:sz w:val="28"/>
          <w:szCs w:val="28"/>
        </w:rPr>
        <w:t>报告，同时向有关车间、科室报告，采取一切办法切断事件源。</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2）车间负责人赶到现场后立即组织人员迅速查明事件发生源的具体部位及原因。应急响应按照以下程序处理：采取措施能处理而消除事件的，则以自救为主。如自己不能控制的，应立即向应急救援指挥部报告，提出堵漏或抢修的具体措施并根据事件级别启动报警系统。</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（3）</w:t>
      </w:r>
      <w:r>
        <w:rPr>
          <w:rFonts w:hint="eastAsia" w:hAnsi="仿宋" w:eastAsia="仿宋"/>
          <w:b w:val="0"/>
          <w:bCs w:val="0"/>
          <w:sz w:val="28"/>
          <w:szCs w:val="28"/>
          <w:lang w:eastAsia="zh-CN"/>
        </w:rPr>
        <w:t>警戒疏散组</w:t>
      </w:r>
      <w:r>
        <w:rPr>
          <w:rFonts w:hint="eastAsia" w:hAnsi="仿宋" w:eastAsia="仿宋"/>
          <w:b w:val="0"/>
          <w:bCs w:val="0"/>
          <w:sz w:val="28"/>
          <w:szCs w:val="28"/>
        </w:rPr>
        <w:t>与</w:t>
      </w:r>
      <w:r>
        <w:rPr>
          <w:rFonts w:hint="eastAsia" w:hAnsi="仿宋" w:eastAsia="仿宋"/>
          <w:b w:val="0"/>
          <w:bCs w:val="0"/>
          <w:sz w:val="28"/>
          <w:szCs w:val="28"/>
          <w:lang w:eastAsia="zh-CN"/>
        </w:rPr>
        <w:t>污染控制组</w:t>
      </w:r>
      <w:r>
        <w:rPr>
          <w:rFonts w:hint="eastAsia" w:hAnsi="仿宋" w:eastAsia="仿宋"/>
          <w:b w:val="0"/>
          <w:bCs w:val="0"/>
          <w:sz w:val="28"/>
          <w:szCs w:val="28"/>
        </w:rPr>
        <w:t>到达事件现场后，利用便携式监测仪器进行监测，根据监测结果确定安全卫生防护距离，在安全卫生防护距离外设置警戒线确定警戒区域，安排专人看管，进行交通管制，禁止与救援无关的人员和车辆入内；义务消防队领队达到现场后立即与指挥部取得联系，根据指挥部安排利用事件点周围消防设施组织施救，如现场着火施救人员要穿戴防火隔热服，防止出现人员受伤。</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4）医疗救助组到达现场后，根据指挥部安排，在事件车间人员引导下查明现场中有无中毒人员，如有中毒人员应佩戴好空气呼吸器，要以最快的速度将中毒人员抢救出现场，严重者要尽快送最近医院抢救。对发生中毒人员，应在注射特效解毒剂或进行必要的医学处理后，根据中毒和受伤轻重送就近医院。</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（5）各车间要建立抢救小组，每个职工都应学会正确的人工呼吸方法，一旦发生事件出现伤员首先要做自救互救工作，发生化学灼伤，要立即在现场用清水进行足够时间的冲洗。</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（6）应急救援指挥小组应根据事件状态及危害程度做出相应的应急决定，并指导各应急救援队开展救援工作。如事件扩大时，应请求区、市有关部门、有关单位支援。</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（7）副总指挥根据指挥部安排迅速向上级主管环保、安全、公安、消防、卫生等上级机关报告事件情况。</w:t>
      </w:r>
    </w:p>
    <w:p>
      <w:pPr>
        <w:pStyle w:val="8"/>
        <w:tabs>
          <w:tab w:val="clear" w:pos="425"/>
        </w:tabs>
        <w:spacing w:line="520" w:lineRule="exact"/>
        <w:ind w:left="0" w:firstLine="0"/>
        <w:rPr>
          <w:rFonts w:eastAsia="仿宋"/>
          <w:sz w:val="28"/>
          <w:szCs w:val="28"/>
        </w:rPr>
      </w:pPr>
      <w:r>
        <w:rPr>
          <w:rFonts w:hAnsi="仿宋" w:eastAsia="仿宋"/>
          <w:sz w:val="28"/>
          <w:szCs w:val="28"/>
        </w:rPr>
        <w:t>分级响应</w:t>
      </w:r>
    </w:p>
    <w:p>
      <w:pPr>
        <w:pStyle w:val="7"/>
        <w:spacing w:line="520" w:lineRule="exact"/>
        <w:ind w:firstLine="560" w:firstLineChars="200"/>
        <w:rPr>
          <w:rFonts w:hAnsi="仿宋" w:eastAsia="仿宋"/>
          <w:sz w:val="28"/>
          <w:szCs w:val="28"/>
        </w:rPr>
      </w:pPr>
      <w:r>
        <w:rPr>
          <w:rFonts w:hint="eastAsia" w:hAnsi="仿宋" w:eastAsia="仿宋"/>
          <w:sz w:val="28"/>
          <w:szCs w:val="28"/>
        </w:rPr>
        <w:t>按照环境事件的类别、危害的程度、事件现场的位置及事件现场情况分析结果，人员伤亡及经济损失严重程度，本公司应急响应分为</w:t>
      </w:r>
      <w:r>
        <w:rPr>
          <w:rFonts w:ascii="Times New Roman" w:hAnsi="Times New Roman" w:eastAsia="仿宋"/>
          <w:bCs w:val="0"/>
          <w:sz w:val="28"/>
          <w:szCs w:val="28"/>
        </w:rPr>
        <w:t>Ⅰ级</w:t>
      </w:r>
      <w:r>
        <w:rPr>
          <w:rFonts w:hint="eastAsia" w:hAnsi="仿宋" w:eastAsia="仿宋"/>
          <w:sz w:val="28"/>
          <w:szCs w:val="28"/>
        </w:rPr>
        <w:t>响应、</w:t>
      </w:r>
      <w:r>
        <w:rPr>
          <w:rFonts w:ascii="Times New Roman" w:hAnsi="Times New Roman" w:eastAsia="仿宋"/>
          <w:bCs w:val="0"/>
          <w:sz w:val="28"/>
          <w:szCs w:val="28"/>
        </w:rPr>
        <w:t>Ⅱ级</w:t>
      </w:r>
      <w:r>
        <w:rPr>
          <w:rFonts w:hint="eastAsia" w:hAnsi="仿宋" w:eastAsia="仿宋"/>
          <w:sz w:val="28"/>
          <w:szCs w:val="28"/>
        </w:rPr>
        <w:t>响应、</w:t>
      </w:r>
      <w:r>
        <w:rPr>
          <w:rFonts w:ascii="Times New Roman" w:hAnsi="Times New Roman" w:eastAsia="仿宋"/>
          <w:bCs w:val="0"/>
          <w:sz w:val="28"/>
          <w:szCs w:val="28"/>
        </w:rPr>
        <w:t>Ⅲ级</w:t>
      </w:r>
      <w:r>
        <w:rPr>
          <w:rFonts w:hint="eastAsia" w:hAnsi="仿宋" w:eastAsia="仿宋"/>
          <w:sz w:val="28"/>
          <w:szCs w:val="28"/>
        </w:rPr>
        <w:t>响应、</w:t>
      </w:r>
      <w:r>
        <w:rPr>
          <w:rFonts w:ascii="Times New Roman" w:hAnsi="Times New Roman" w:eastAsia="仿宋"/>
          <w:bCs w:val="0"/>
          <w:sz w:val="28"/>
          <w:szCs w:val="28"/>
        </w:rPr>
        <w:t>Ⅳ级</w:t>
      </w:r>
      <w:r>
        <w:rPr>
          <w:rFonts w:hint="eastAsia" w:hAnsi="仿宋" w:eastAsia="仿宋"/>
          <w:sz w:val="28"/>
          <w:szCs w:val="28"/>
        </w:rPr>
        <w:t>响应。</w:t>
      </w:r>
    </w:p>
    <w:p>
      <w:pPr>
        <w:pStyle w:val="7"/>
        <w:spacing w:line="520" w:lineRule="exact"/>
        <w:ind w:firstLine="560" w:firstLineChars="200"/>
        <w:rPr>
          <w:rFonts w:hAnsi="仿宋" w:eastAsia="仿宋"/>
          <w:sz w:val="28"/>
          <w:szCs w:val="28"/>
        </w:rPr>
      </w:pPr>
      <w:r>
        <w:rPr>
          <w:rFonts w:hint="eastAsia" w:hAnsi="仿宋" w:eastAsia="仿宋"/>
          <w:sz w:val="28"/>
          <w:szCs w:val="28"/>
        </w:rPr>
        <w:t>应急响应级别不应低于事件级别，必要情况下由公司应急领导小组决定，可提级响应。</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响应指挥</w:t>
      </w:r>
    </w:p>
    <w:p>
      <w:pPr>
        <w:pStyle w:val="7"/>
        <w:spacing w:line="520" w:lineRule="exact"/>
        <w:ind w:firstLine="560" w:firstLineChars="200"/>
        <w:rPr>
          <w:rFonts w:ascii="Times New Roman" w:hAnsi="Times New Roman" w:eastAsia="仿宋"/>
          <w:sz w:val="28"/>
          <w:szCs w:val="28"/>
        </w:rPr>
      </w:pPr>
      <w:r>
        <w:rPr>
          <w:rFonts w:ascii="Times New Roman" w:hAnsi="Times New Roman" w:eastAsia="仿宋"/>
          <w:sz w:val="28"/>
          <w:szCs w:val="28"/>
        </w:rPr>
        <w:t>（1）</w:t>
      </w:r>
      <w:r>
        <w:rPr>
          <w:rFonts w:ascii="Times New Roman" w:hAnsi="Times New Roman" w:eastAsia="仿宋"/>
          <w:bCs w:val="0"/>
          <w:sz w:val="28"/>
          <w:szCs w:val="28"/>
        </w:rPr>
        <w:t>Ⅰ级</w:t>
      </w:r>
      <w:r>
        <w:rPr>
          <w:rFonts w:ascii="Times New Roman" w:hAnsi="Times New Roman" w:eastAsia="仿宋"/>
          <w:sz w:val="28"/>
          <w:szCs w:val="28"/>
        </w:rPr>
        <w:t>响应指挥</w:t>
      </w:r>
    </w:p>
    <w:p>
      <w:pPr>
        <w:pStyle w:val="7"/>
        <w:spacing w:line="520" w:lineRule="exact"/>
        <w:ind w:firstLine="560" w:firstLineChars="200"/>
        <w:rPr>
          <w:rFonts w:ascii="Times New Roman" w:hAnsi="Times New Roman" w:eastAsia="仿宋"/>
          <w:sz w:val="28"/>
          <w:szCs w:val="28"/>
        </w:rPr>
      </w:pPr>
      <w:r>
        <w:rPr>
          <w:rFonts w:ascii="Times New Roman" w:hAnsi="Times New Roman" w:eastAsia="仿宋"/>
          <w:sz w:val="28"/>
          <w:szCs w:val="28"/>
        </w:rPr>
        <w:t>1）</w:t>
      </w:r>
      <w:r>
        <w:rPr>
          <w:rFonts w:ascii="Times New Roman" w:hAnsi="Times New Roman" w:eastAsia="仿宋"/>
          <w:bCs w:val="0"/>
          <w:sz w:val="28"/>
          <w:szCs w:val="28"/>
        </w:rPr>
        <w:t>Ⅰ级</w:t>
      </w:r>
      <w:r>
        <w:rPr>
          <w:rFonts w:ascii="Times New Roman" w:hAnsi="Times New Roman" w:eastAsia="仿宋"/>
          <w:sz w:val="28"/>
          <w:szCs w:val="28"/>
        </w:rPr>
        <w:t>响应指挥由单位应急指挥部总指挥执行；</w:t>
      </w:r>
    </w:p>
    <w:p>
      <w:pPr>
        <w:pStyle w:val="7"/>
        <w:spacing w:line="520" w:lineRule="exact"/>
        <w:ind w:firstLine="560" w:firstLineChars="200"/>
        <w:rPr>
          <w:rFonts w:ascii="Times New Roman" w:hAnsi="Times New Roman" w:eastAsia="仿宋"/>
          <w:sz w:val="28"/>
          <w:szCs w:val="28"/>
        </w:rPr>
      </w:pPr>
      <w:r>
        <w:rPr>
          <w:rFonts w:ascii="Times New Roman" w:hAnsi="Times New Roman" w:eastAsia="仿宋"/>
          <w:sz w:val="28"/>
          <w:szCs w:val="28"/>
        </w:rPr>
        <w:t>2）总指挥不在时，依序由副总指挥、磷化分厂厂长、主任工程师、安全主任执行；</w:t>
      </w:r>
    </w:p>
    <w:p>
      <w:pPr>
        <w:pStyle w:val="7"/>
        <w:spacing w:line="520" w:lineRule="exact"/>
        <w:ind w:firstLine="560" w:firstLineChars="200"/>
        <w:rPr>
          <w:rFonts w:ascii="Times New Roman" w:hAnsi="Times New Roman" w:eastAsia="仿宋"/>
          <w:sz w:val="28"/>
          <w:szCs w:val="28"/>
        </w:rPr>
      </w:pPr>
      <w:r>
        <w:rPr>
          <w:rFonts w:ascii="Times New Roman" w:hAnsi="Times New Roman" w:eastAsia="仿宋"/>
          <w:sz w:val="28"/>
          <w:szCs w:val="28"/>
        </w:rPr>
        <w:t>3）总指挥到位后，向总指挥移交指挥，视现场情况，总指挥可指令授权应急指挥部某成员行使总指挥职权；</w:t>
      </w:r>
    </w:p>
    <w:p>
      <w:pPr>
        <w:pStyle w:val="7"/>
        <w:spacing w:line="520" w:lineRule="exact"/>
        <w:ind w:firstLine="560" w:firstLineChars="200"/>
        <w:rPr>
          <w:rFonts w:ascii="Times New Roman" w:hAnsi="Times New Roman" w:eastAsia="仿宋"/>
          <w:sz w:val="28"/>
          <w:szCs w:val="28"/>
        </w:rPr>
      </w:pPr>
      <w:r>
        <w:rPr>
          <w:rFonts w:ascii="Times New Roman" w:hAnsi="Times New Roman" w:eastAsia="仿宋"/>
          <w:sz w:val="28"/>
          <w:szCs w:val="28"/>
        </w:rPr>
        <w:t>4）遇政府成立现场应急指挥部时，移交政府指挥部人员指挥，火灾时在公安消防部门到场后移交消防部门指挥，并介绍事故情况和已采取的应急措施，配合协助应急指挥与处置。</w:t>
      </w:r>
    </w:p>
    <w:p>
      <w:pPr>
        <w:pStyle w:val="7"/>
        <w:spacing w:line="520" w:lineRule="exact"/>
        <w:ind w:firstLine="560" w:firstLineChars="200"/>
        <w:rPr>
          <w:rFonts w:ascii="Times New Roman" w:hAnsi="Times New Roman" w:eastAsia="仿宋"/>
          <w:sz w:val="28"/>
          <w:szCs w:val="28"/>
        </w:rPr>
      </w:pPr>
      <w:r>
        <w:rPr>
          <w:rFonts w:ascii="Times New Roman" w:hAnsi="Times New Roman" w:eastAsia="仿宋"/>
          <w:sz w:val="28"/>
          <w:szCs w:val="28"/>
        </w:rPr>
        <w:t>（2）</w:t>
      </w:r>
      <w:r>
        <w:rPr>
          <w:rFonts w:ascii="Times New Roman" w:hAnsi="Times New Roman" w:eastAsia="仿宋"/>
          <w:bCs w:val="0"/>
          <w:sz w:val="28"/>
          <w:szCs w:val="28"/>
        </w:rPr>
        <w:t>Ⅱ级</w:t>
      </w:r>
      <w:r>
        <w:rPr>
          <w:rFonts w:ascii="Times New Roman" w:hAnsi="Times New Roman" w:eastAsia="仿宋"/>
          <w:sz w:val="28"/>
          <w:szCs w:val="28"/>
        </w:rPr>
        <w:t>响应指挥</w:t>
      </w:r>
    </w:p>
    <w:p>
      <w:pPr>
        <w:pStyle w:val="7"/>
        <w:spacing w:line="520" w:lineRule="exact"/>
        <w:ind w:firstLine="560" w:firstLineChars="200"/>
        <w:rPr>
          <w:rFonts w:ascii="Times New Roman" w:hAnsi="Times New Roman" w:eastAsia="仿宋"/>
          <w:sz w:val="28"/>
          <w:szCs w:val="28"/>
        </w:rPr>
      </w:pPr>
      <w:r>
        <w:rPr>
          <w:rFonts w:ascii="Times New Roman" w:hAnsi="Times New Roman" w:eastAsia="仿宋"/>
          <w:bCs w:val="0"/>
          <w:sz w:val="28"/>
          <w:szCs w:val="28"/>
        </w:rPr>
        <w:t>Ⅱ级</w:t>
      </w:r>
      <w:r>
        <w:rPr>
          <w:rFonts w:ascii="Times New Roman" w:hAnsi="Times New Roman" w:eastAsia="仿宋"/>
          <w:sz w:val="28"/>
          <w:szCs w:val="28"/>
        </w:rPr>
        <w:t>响应指挥由应急指挥部副总指挥执行，依序由磷化分厂厂长、主任工程师、安全主任执行，非工作日期间车间值班长（主任）执行。</w:t>
      </w:r>
    </w:p>
    <w:p>
      <w:pPr>
        <w:pStyle w:val="7"/>
        <w:spacing w:line="520" w:lineRule="exact"/>
        <w:ind w:firstLine="560" w:firstLineChars="200"/>
        <w:rPr>
          <w:rFonts w:ascii="Times New Roman" w:hAnsi="Times New Roman" w:eastAsia="仿宋"/>
          <w:sz w:val="28"/>
          <w:szCs w:val="28"/>
        </w:rPr>
      </w:pPr>
      <w:r>
        <w:rPr>
          <w:rFonts w:ascii="Times New Roman" w:hAnsi="Times New Roman" w:eastAsia="仿宋"/>
          <w:sz w:val="28"/>
          <w:szCs w:val="28"/>
        </w:rPr>
        <w:t>（3）</w:t>
      </w:r>
      <w:r>
        <w:rPr>
          <w:rFonts w:ascii="Times New Roman" w:hAnsi="Times New Roman" w:eastAsia="仿宋"/>
          <w:bCs w:val="0"/>
          <w:sz w:val="28"/>
          <w:szCs w:val="28"/>
        </w:rPr>
        <w:t>Ⅲ级</w:t>
      </w:r>
      <w:r>
        <w:rPr>
          <w:rFonts w:ascii="Times New Roman" w:hAnsi="Times New Roman" w:eastAsia="仿宋"/>
          <w:sz w:val="28"/>
          <w:szCs w:val="28"/>
        </w:rPr>
        <w:t>响应指挥</w:t>
      </w:r>
    </w:p>
    <w:p>
      <w:pPr>
        <w:pStyle w:val="7"/>
        <w:spacing w:line="520" w:lineRule="exact"/>
        <w:ind w:firstLine="560" w:firstLineChars="200"/>
        <w:rPr>
          <w:rFonts w:ascii="Times New Roman" w:hAnsi="Times New Roman" w:eastAsia="仿宋"/>
          <w:sz w:val="28"/>
          <w:szCs w:val="28"/>
        </w:rPr>
      </w:pPr>
      <w:r>
        <w:rPr>
          <w:rFonts w:ascii="Times New Roman" w:hAnsi="Times New Roman" w:eastAsia="仿宋"/>
          <w:bCs w:val="0"/>
          <w:sz w:val="28"/>
          <w:szCs w:val="28"/>
        </w:rPr>
        <w:t>Ⅲ级</w:t>
      </w:r>
      <w:r>
        <w:rPr>
          <w:rFonts w:ascii="Times New Roman" w:hAnsi="Times New Roman" w:eastAsia="仿宋"/>
          <w:sz w:val="28"/>
          <w:szCs w:val="28"/>
        </w:rPr>
        <w:t>响应应急指挥由应急指挥部副总指挥执行，依序由磷化分厂厂长、主任工程师、安全主任执行，非工作日期间由车间值班长（主任）执行。</w:t>
      </w:r>
    </w:p>
    <w:p>
      <w:pPr>
        <w:pStyle w:val="7"/>
        <w:spacing w:line="520" w:lineRule="exact"/>
        <w:ind w:firstLine="560" w:firstLineChars="200"/>
        <w:rPr>
          <w:rFonts w:ascii="Times New Roman" w:hAnsi="Times New Roman" w:eastAsia="仿宋"/>
          <w:sz w:val="28"/>
          <w:szCs w:val="28"/>
        </w:rPr>
      </w:pPr>
      <w:r>
        <w:rPr>
          <w:rFonts w:ascii="Times New Roman" w:hAnsi="Times New Roman" w:eastAsia="仿宋"/>
          <w:sz w:val="28"/>
          <w:szCs w:val="28"/>
        </w:rPr>
        <w:t>（4）</w:t>
      </w:r>
      <w:r>
        <w:rPr>
          <w:rFonts w:ascii="Times New Roman" w:hAnsi="Times New Roman" w:eastAsia="仿宋"/>
          <w:bCs w:val="0"/>
          <w:sz w:val="28"/>
          <w:szCs w:val="28"/>
        </w:rPr>
        <w:t>Ⅳ级</w:t>
      </w:r>
      <w:r>
        <w:rPr>
          <w:rFonts w:ascii="Times New Roman" w:hAnsi="Times New Roman" w:eastAsia="仿宋"/>
          <w:sz w:val="28"/>
          <w:szCs w:val="28"/>
        </w:rPr>
        <w:t>响应指挥</w:t>
      </w:r>
    </w:p>
    <w:p>
      <w:pPr>
        <w:pStyle w:val="7"/>
        <w:spacing w:line="520" w:lineRule="exact"/>
        <w:ind w:firstLine="560" w:firstLineChars="200"/>
        <w:rPr>
          <w:rFonts w:ascii="Times New Roman" w:hAnsi="Times New Roman" w:eastAsia="仿宋"/>
          <w:sz w:val="28"/>
          <w:szCs w:val="28"/>
        </w:rPr>
      </w:pPr>
      <w:r>
        <w:rPr>
          <w:rFonts w:ascii="Times New Roman" w:hAnsi="Times New Roman" w:eastAsia="仿宋"/>
          <w:bCs w:val="0"/>
          <w:sz w:val="28"/>
          <w:szCs w:val="28"/>
        </w:rPr>
        <w:t>Ⅳ级</w:t>
      </w:r>
      <w:r>
        <w:rPr>
          <w:rFonts w:ascii="Times New Roman" w:hAnsi="Times New Roman" w:eastAsia="仿宋"/>
          <w:sz w:val="28"/>
          <w:szCs w:val="28"/>
        </w:rPr>
        <w:t>响应的应急指挥由值班长（主任）或车间负责人指挥，初期的指挥由班长或在现场的最高职务人员组织指挥应急处理，并根据现场情况通报副总指挥，视需要可将指挥权交给副总指挥。</w:t>
      </w:r>
    </w:p>
    <w:p>
      <w:pPr>
        <w:pStyle w:val="6"/>
        <w:spacing w:before="0" w:beforeAutospacing="0" w:line="520" w:lineRule="exact"/>
        <w:ind w:left="0" w:firstLine="0"/>
        <w:rPr>
          <w:rFonts w:hAnsi="仿宋" w:eastAsia="仿宋"/>
        </w:rPr>
      </w:pPr>
      <w:bookmarkStart w:id="91" w:name="_Toc12998"/>
      <w:r>
        <w:rPr>
          <w:rFonts w:hint="eastAsia" w:hAnsi="仿宋" w:eastAsia="仿宋"/>
        </w:rPr>
        <w:t>响应程序</w:t>
      </w:r>
      <w:bookmarkEnd w:id="91"/>
    </w:p>
    <w:p>
      <w:pPr>
        <w:pStyle w:val="7"/>
        <w:spacing w:line="520" w:lineRule="exact"/>
        <w:ind w:firstLine="560" w:firstLineChars="200"/>
        <w:rPr>
          <w:rFonts w:ascii="Times New Roman" w:hAnsi="Times New Roman" w:eastAsia="仿宋"/>
          <w:sz w:val="28"/>
          <w:szCs w:val="28"/>
        </w:rPr>
      </w:pPr>
      <w:r>
        <w:rPr>
          <w:rFonts w:ascii="Times New Roman" w:hAnsi="Times New Roman" w:eastAsia="仿宋"/>
          <w:sz w:val="28"/>
          <w:szCs w:val="28"/>
        </w:rPr>
        <w:t>启动</w:t>
      </w:r>
      <w:r>
        <w:rPr>
          <w:rFonts w:ascii="Times New Roman" w:hAnsi="Times New Roman" w:eastAsia="仿宋"/>
          <w:bCs w:val="0"/>
          <w:sz w:val="28"/>
          <w:szCs w:val="28"/>
        </w:rPr>
        <w:t>Ⅳ级</w:t>
      </w:r>
      <w:r>
        <w:rPr>
          <w:rFonts w:hint="eastAsia" w:hAnsi="仿宋" w:eastAsia="仿宋"/>
          <w:sz w:val="28"/>
          <w:szCs w:val="28"/>
        </w:rPr>
        <w:t>响应</w:t>
      </w:r>
      <w:r>
        <w:rPr>
          <w:rFonts w:ascii="Times New Roman" w:hAnsi="Times New Roman" w:eastAsia="仿宋"/>
          <w:sz w:val="28"/>
          <w:szCs w:val="28"/>
        </w:rPr>
        <w:t>：岗位发生的事件为因包装破损、阀门泄漏等引起的微量泄漏，涉及范围不超过10m。利用本岗位在岗人员或车间内应急力量能够及时处理、解决的事件，启动</w:t>
      </w:r>
      <w:r>
        <w:rPr>
          <w:rFonts w:ascii="Times New Roman" w:hAnsi="Times New Roman" w:eastAsia="仿宋"/>
          <w:bCs w:val="0"/>
          <w:sz w:val="28"/>
          <w:szCs w:val="28"/>
        </w:rPr>
        <w:t>Ⅳ级</w:t>
      </w:r>
      <w:r>
        <w:rPr>
          <w:rFonts w:hint="eastAsia" w:hAnsi="仿宋" w:eastAsia="仿宋"/>
          <w:sz w:val="28"/>
          <w:szCs w:val="28"/>
        </w:rPr>
        <w:t>响应</w:t>
      </w:r>
      <w:r>
        <w:rPr>
          <w:rFonts w:ascii="Times New Roman" w:hAnsi="Times New Roman" w:eastAsia="仿宋"/>
          <w:sz w:val="28"/>
          <w:szCs w:val="28"/>
        </w:rPr>
        <w:t>，运行现场处置方案，本岗位及相邻岗位职工参与。由车间内应急救援小组实施抢救工作。</w:t>
      </w:r>
    </w:p>
    <w:p>
      <w:pPr>
        <w:pStyle w:val="7"/>
        <w:spacing w:line="520" w:lineRule="exact"/>
        <w:ind w:firstLine="560" w:firstLineChars="200"/>
        <w:rPr>
          <w:rFonts w:ascii="Times New Roman" w:hAnsi="Times New Roman" w:eastAsia="仿宋"/>
          <w:sz w:val="28"/>
          <w:szCs w:val="28"/>
        </w:rPr>
      </w:pPr>
      <w:r>
        <w:rPr>
          <w:rFonts w:ascii="Times New Roman" w:hAnsi="Times New Roman" w:eastAsia="仿宋"/>
          <w:sz w:val="28"/>
          <w:szCs w:val="28"/>
        </w:rPr>
        <w:t>启动</w:t>
      </w:r>
      <w:r>
        <w:rPr>
          <w:rFonts w:ascii="Times New Roman" w:hAnsi="Times New Roman" w:eastAsia="仿宋"/>
          <w:bCs w:val="0"/>
          <w:sz w:val="28"/>
          <w:szCs w:val="28"/>
        </w:rPr>
        <w:t>Ⅲ级</w:t>
      </w:r>
      <w:r>
        <w:rPr>
          <w:rFonts w:hint="eastAsia" w:hAnsi="仿宋" w:eastAsia="仿宋"/>
          <w:sz w:val="28"/>
          <w:szCs w:val="28"/>
        </w:rPr>
        <w:t>响应</w:t>
      </w:r>
      <w:r>
        <w:rPr>
          <w:rFonts w:ascii="Times New Roman" w:hAnsi="Times New Roman" w:eastAsia="仿宋"/>
          <w:sz w:val="28"/>
          <w:szCs w:val="28"/>
        </w:rPr>
        <w:t>：班组内发生的事件为因管道、阀门、接头泄漏等引起的微小污染事件，未造成人员伤亡，造成1万元以下经济损失，对外环境未造成影响。利用本班组在岗人员或车间内应急力量能够及时处理、解决的事件，启动</w:t>
      </w:r>
      <w:r>
        <w:rPr>
          <w:rFonts w:ascii="Times New Roman" w:hAnsi="Times New Roman" w:eastAsia="仿宋"/>
          <w:bCs w:val="0"/>
          <w:sz w:val="28"/>
          <w:szCs w:val="28"/>
        </w:rPr>
        <w:t>Ⅲ级</w:t>
      </w:r>
      <w:r>
        <w:rPr>
          <w:rFonts w:hint="eastAsia" w:hAnsi="仿宋" w:eastAsia="仿宋"/>
          <w:sz w:val="28"/>
          <w:szCs w:val="28"/>
        </w:rPr>
        <w:t>响应</w:t>
      </w:r>
      <w:r>
        <w:rPr>
          <w:rFonts w:ascii="Times New Roman" w:hAnsi="Times New Roman" w:eastAsia="仿宋"/>
          <w:sz w:val="28"/>
          <w:szCs w:val="28"/>
        </w:rPr>
        <w:t>，运行现场处置方案，本班组职工参与。由车间内应急救援小组实施抢救工作。</w:t>
      </w:r>
    </w:p>
    <w:p>
      <w:pPr>
        <w:pStyle w:val="7"/>
        <w:spacing w:line="520" w:lineRule="exact"/>
        <w:ind w:firstLine="560" w:firstLineChars="200"/>
        <w:rPr>
          <w:rFonts w:ascii="Times New Roman" w:hAnsi="Times New Roman" w:eastAsia="仿宋"/>
          <w:sz w:val="28"/>
          <w:szCs w:val="28"/>
        </w:rPr>
      </w:pPr>
      <w:r>
        <w:rPr>
          <w:rFonts w:ascii="Times New Roman" w:hAnsi="Times New Roman" w:eastAsia="仿宋"/>
          <w:sz w:val="28"/>
          <w:szCs w:val="28"/>
        </w:rPr>
        <w:t>启动</w:t>
      </w:r>
      <w:r>
        <w:rPr>
          <w:rFonts w:ascii="Times New Roman" w:hAnsi="Times New Roman" w:eastAsia="仿宋"/>
          <w:bCs w:val="0"/>
          <w:sz w:val="28"/>
          <w:szCs w:val="28"/>
        </w:rPr>
        <w:t>Ⅱ级</w:t>
      </w:r>
      <w:r>
        <w:rPr>
          <w:rFonts w:hint="eastAsia" w:hAnsi="仿宋" w:eastAsia="仿宋"/>
          <w:sz w:val="28"/>
          <w:szCs w:val="28"/>
        </w:rPr>
        <w:t>响应</w:t>
      </w:r>
      <w:r>
        <w:rPr>
          <w:rFonts w:ascii="Times New Roman" w:hAnsi="Times New Roman" w:eastAsia="仿宋"/>
          <w:sz w:val="28"/>
          <w:szCs w:val="28"/>
        </w:rPr>
        <w:t>：造成1人以上轻伤或轻度中毒，造成1~5万经济损失，对外环境未造成严重伤害，如输送管道或装置区发生泄漏，泄漏量估计波及车间邻近范围内人员，为此必须启动</w:t>
      </w:r>
      <w:r>
        <w:rPr>
          <w:rFonts w:ascii="Times New Roman" w:hAnsi="Times New Roman" w:eastAsia="仿宋"/>
          <w:bCs w:val="0"/>
          <w:sz w:val="28"/>
          <w:szCs w:val="28"/>
        </w:rPr>
        <w:t>Ⅱ级</w:t>
      </w:r>
      <w:r>
        <w:rPr>
          <w:rFonts w:hint="eastAsia" w:hAnsi="仿宋" w:eastAsia="仿宋"/>
          <w:sz w:val="28"/>
          <w:szCs w:val="28"/>
        </w:rPr>
        <w:t>响应</w:t>
      </w:r>
      <w:r>
        <w:rPr>
          <w:rFonts w:ascii="Times New Roman" w:hAnsi="Times New Roman" w:eastAsia="仿宋"/>
          <w:sz w:val="28"/>
          <w:szCs w:val="28"/>
        </w:rPr>
        <w:t>，不失时机地对车间人员等进行应急疏散、救援，特别是下风向范围内人员。</w:t>
      </w:r>
    </w:p>
    <w:p>
      <w:pPr>
        <w:pStyle w:val="7"/>
        <w:spacing w:line="520" w:lineRule="exact"/>
        <w:ind w:firstLine="560" w:firstLineChars="200"/>
        <w:rPr>
          <w:rFonts w:ascii="Times New Roman" w:hAnsi="Times New Roman" w:eastAsia="仿宋"/>
          <w:sz w:val="28"/>
          <w:szCs w:val="28"/>
        </w:rPr>
      </w:pPr>
      <w:r>
        <w:rPr>
          <w:rFonts w:ascii="Times New Roman" w:hAnsi="Times New Roman" w:eastAsia="仿宋"/>
          <w:sz w:val="28"/>
          <w:szCs w:val="28"/>
        </w:rPr>
        <w:t>启动</w:t>
      </w:r>
      <w:r>
        <w:rPr>
          <w:rFonts w:ascii="Times New Roman" w:hAnsi="Times New Roman" w:eastAsia="仿宋"/>
          <w:bCs w:val="0"/>
          <w:sz w:val="28"/>
          <w:szCs w:val="28"/>
        </w:rPr>
        <w:t>Ⅰ级</w:t>
      </w:r>
      <w:r>
        <w:rPr>
          <w:rFonts w:hint="eastAsia" w:hAnsi="仿宋" w:eastAsia="仿宋"/>
          <w:sz w:val="28"/>
          <w:szCs w:val="28"/>
        </w:rPr>
        <w:t>响应</w:t>
      </w:r>
      <w:r>
        <w:rPr>
          <w:rFonts w:ascii="Times New Roman" w:hAnsi="Times New Roman" w:eastAsia="仿宋"/>
          <w:sz w:val="28"/>
          <w:szCs w:val="28"/>
        </w:rPr>
        <w:t>：所发生的事件为储存区或装置区大量泄漏引发火灾爆炸或中毒等事件，造成1人以上死亡、重伤或重度中毒，造成10万以上经济损失，对周围环境造成严重伤害，立即发布</w:t>
      </w:r>
      <w:r>
        <w:rPr>
          <w:rFonts w:ascii="Times New Roman" w:hAnsi="Times New Roman" w:eastAsia="仿宋"/>
          <w:bCs w:val="0"/>
          <w:sz w:val="28"/>
          <w:szCs w:val="28"/>
        </w:rPr>
        <w:t>Ⅰ级</w:t>
      </w:r>
      <w:r>
        <w:rPr>
          <w:rFonts w:ascii="Times New Roman" w:hAnsi="Times New Roman" w:eastAsia="仿宋"/>
          <w:sz w:val="28"/>
          <w:szCs w:val="28"/>
        </w:rPr>
        <w:t>预警，并立即通知相关环境突发事件应急指挥部、环境污染事件应急现场处理小组、环境污染事件应急监测小组、环保局及地方政府，联动政府请求立即派外部支援力量，同时出动消防车沿周边喊话，大范围疏散影响范围内居民，特别是下风向的居民。</w:t>
      </w:r>
    </w:p>
    <w:p>
      <w:pPr>
        <w:pStyle w:val="7"/>
        <w:spacing w:line="520" w:lineRule="exact"/>
        <w:ind w:firstLine="560" w:firstLineChars="200"/>
        <w:rPr>
          <w:rFonts w:ascii="Times New Roman" w:hAnsi="Times New Roman" w:eastAsia="仿宋"/>
          <w:sz w:val="28"/>
          <w:szCs w:val="28"/>
        </w:rPr>
      </w:pPr>
      <w:r>
        <w:rPr>
          <w:rFonts w:ascii="Times New Roman" w:hAnsi="Times New Roman" w:eastAsia="仿宋"/>
          <w:sz w:val="28"/>
          <w:szCs w:val="28"/>
        </w:rPr>
        <w:t>如果事件对厂界外造成重大影响，公司力量已经不能控制，这时应立即上报环保局和地方政府。</w:t>
      </w:r>
    </w:p>
    <w:p>
      <w:pPr>
        <w:pStyle w:val="6"/>
        <w:spacing w:before="0" w:beforeAutospacing="0" w:line="520" w:lineRule="exact"/>
        <w:ind w:left="0" w:firstLine="0"/>
        <w:rPr>
          <w:rFonts w:eastAsia="仿宋"/>
        </w:rPr>
      </w:pPr>
      <w:bookmarkStart w:id="92" w:name="_Toc46843276"/>
      <w:bookmarkStart w:id="93" w:name="_Toc13782"/>
      <w:bookmarkStart w:id="94" w:name="_Toc472856707"/>
      <w:r>
        <w:rPr>
          <w:rFonts w:hAnsi="仿宋" w:eastAsia="仿宋"/>
        </w:rPr>
        <w:t>应急响应程序</w:t>
      </w:r>
      <w:bookmarkEnd w:id="92"/>
      <w:bookmarkEnd w:id="93"/>
      <w:bookmarkEnd w:id="94"/>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环境突发事件应急救援针对事件危害程度、影响范围和单位控制事态的能力，将事件分为不同的等级，按照分级负责的原则，明确应急响应级别。应急响应的过程为接警、应急启动、控制及应急行动、扩大应急、应急终止和后期处置。</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扩大或提高应急响应级别的主要依据是：</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①突发环境事件的危险程度；</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②突发环境事件的影响范围；</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③突发环境事件的控制事态能力。</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发生重大的火灾、爆炸事件，总指挥决定扩大应急范围后，立即按程序上报，启动相应级别的应急预案。以现场应急现场指挥为主的原则，具体程序如下：</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（1）最早发现者应立即拨打应急报警电话，并向车间负责人、安环科报告，同时向有关车间、科室报告，采取一切办法切断事件源。</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2）车间负责人赶到现场后立即组织人员迅速查明事件发生源的具体部位及原因。应急响应按照以下程序处理：切断气瓶阀门或采取其他措施能处理而消除事件的，则以自救为主。如自己不能控制的，应立即向应急救援指挥部报告，提出堵漏或抢修的具体措施并根据事件级别启动报警系统。</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（3）</w:t>
      </w:r>
      <w:r>
        <w:rPr>
          <w:rFonts w:hint="eastAsia" w:hAnsi="仿宋" w:eastAsia="仿宋"/>
          <w:b w:val="0"/>
          <w:bCs w:val="0"/>
          <w:sz w:val="28"/>
          <w:szCs w:val="28"/>
          <w:lang w:eastAsia="zh-CN"/>
        </w:rPr>
        <w:t>警戒疏散组</w:t>
      </w:r>
      <w:r>
        <w:rPr>
          <w:rFonts w:hint="eastAsia" w:hAnsi="仿宋" w:eastAsia="仿宋"/>
          <w:b w:val="0"/>
          <w:bCs w:val="0"/>
          <w:sz w:val="28"/>
          <w:szCs w:val="28"/>
        </w:rPr>
        <w:t>与</w:t>
      </w:r>
      <w:r>
        <w:rPr>
          <w:rFonts w:hint="eastAsia" w:hAnsi="仿宋" w:eastAsia="仿宋"/>
          <w:b w:val="0"/>
          <w:bCs w:val="0"/>
          <w:sz w:val="28"/>
          <w:szCs w:val="28"/>
          <w:lang w:eastAsia="zh-CN"/>
        </w:rPr>
        <w:t>污染控制组</w:t>
      </w:r>
      <w:r>
        <w:rPr>
          <w:rFonts w:hint="eastAsia" w:hAnsi="仿宋" w:eastAsia="仿宋"/>
          <w:b w:val="0"/>
          <w:bCs w:val="0"/>
          <w:sz w:val="28"/>
          <w:szCs w:val="28"/>
        </w:rPr>
        <w:t>到达事件现场后，利用便携式监测仪器进行监测，根据监测结果确定安全卫生防护距离，在安全卫生防护距离外设置警戒线确定警戒区域，安排专人看管，进行交通管制，禁止与救援无关的人员和车辆入内；义务消防队领队达到现场后立即与指挥部取得联系，根据指挥部安排利用事件点周围消防设施组织施救，如现场着火施救人员要穿戴防火隔热服，防止出现人员受伤。</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4）医疗救助组到达现场后，根据指挥部安排，在事件车间人员引导下查明现场中有无中毒人员，如有中毒人员应佩戴好空气呼吸器，要以最快的速度将中毒人员抢救出现场，严重者要尽快送最近医院抢救。对发生中毒人员，应在注射特效解毒剂或进行必要的医学处理后，根据中毒和受伤轻重送就近医院。</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（5）各车间要建立抢救小组，每个职工都应学会正确的人工呼吸方法，一旦发生事件出现伤员首先要做自救互救工作，发生化学灼伤，要立即在现场用清水进行足够时间的冲洗。</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（6）应急救援指挥小组应根据事件状态及危害程度做出相应的应急决定，并指导各应急救援队开展救援工作。如事件扩大时，应请求区、市有关部门、有关单位支援。</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（7）副总指挥根据指挥部安排迅速向上级主管环保、安全、公安、消防、卫生等上级机关报告事件情况。</w:t>
      </w:r>
    </w:p>
    <w:p>
      <w:pPr>
        <w:pStyle w:val="95"/>
        <w:spacing w:line="520" w:lineRule="exact"/>
        <w:ind w:firstLine="562"/>
        <w:jc w:val="both"/>
        <w:rPr>
          <w:rFonts w:eastAsia="仿宋"/>
          <w:b w:val="0"/>
          <w:bCs w:val="0"/>
          <w:sz w:val="28"/>
          <w:szCs w:val="28"/>
        </w:rPr>
      </w:pPr>
      <w:r>
        <w:rPr>
          <w:rFonts w:hAnsi="仿宋" w:eastAsia="仿宋"/>
          <w:b w:val="0"/>
          <w:bCs w:val="0"/>
          <w:sz w:val="28"/>
          <w:szCs w:val="28"/>
        </w:rPr>
        <w:t>公司突发环境事件应急响应流程见图</w:t>
      </w:r>
      <w:r>
        <w:rPr>
          <w:rFonts w:hint="eastAsia" w:eastAsia="仿宋"/>
          <w:b w:val="0"/>
          <w:bCs w:val="0"/>
          <w:sz w:val="28"/>
          <w:szCs w:val="28"/>
        </w:rPr>
        <w:t>7.3</w:t>
      </w:r>
      <w:r>
        <w:rPr>
          <w:rFonts w:eastAsia="仿宋"/>
          <w:b w:val="0"/>
          <w:bCs w:val="0"/>
          <w:sz w:val="28"/>
          <w:szCs w:val="28"/>
        </w:rPr>
        <w:t>-1</w:t>
      </w:r>
      <w:r>
        <w:rPr>
          <w:rFonts w:hAnsi="仿宋" w:eastAsia="仿宋"/>
          <w:b w:val="0"/>
          <w:bCs w:val="0"/>
          <w:sz w:val="28"/>
          <w:szCs w:val="28"/>
        </w:rPr>
        <w:t>。</w:t>
      </w:r>
    </w:p>
    <w:p>
      <w:pPr>
        <w:pStyle w:val="119"/>
        <w:spacing w:line="240" w:lineRule="auto"/>
        <w:ind w:firstLine="0" w:firstLineChars="0"/>
        <w:jc w:val="center"/>
        <w:rPr>
          <w:rFonts w:eastAsia="仿宋"/>
          <w:sz w:val="28"/>
          <w:szCs w:val="28"/>
        </w:rPr>
      </w:pPr>
      <w:r>
        <w:rPr>
          <w:rFonts w:hAnsi="仿宋" w:eastAsia="仿宋"/>
          <w:sz w:val="28"/>
          <w:szCs w:val="28"/>
        </w:rPr>
        <w:object>
          <v:shape id="_x0000_i1038" o:spt="75" type="#_x0000_t75" style="height:669.5pt;width:414.5pt;" o:ole="t" filled="f" o:preferrelative="t" stroked="f" coordsize="21600,21600">
            <v:path/>
            <v:fill on="f" focussize="0,0"/>
            <v:stroke on="f" joinstyle="miter"/>
            <v:imagedata r:id="rId35" o:title=""/>
            <o:lock v:ext="edit" aspectratio="f"/>
            <w10:wrap type="none"/>
            <w10:anchorlock/>
          </v:shape>
          <o:OLEObject Type="Embed" ProgID="Visio.Drawing.15" ShapeID="_x0000_i1038" DrawAspect="Content" ObjectID="_1468075738" r:id="rId34">
            <o:LockedField>false</o:LockedField>
          </o:OLEObject>
        </w:object>
      </w:r>
    </w:p>
    <w:p>
      <w:pPr>
        <w:pStyle w:val="32"/>
        <w:spacing w:line="240" w:lineRule="auto"/>
        <w:rPr>
          <w:rFonts w:eastAsia="仿宋"/>
          <w:b w:val="0"/>
          <w:bCs w:val="0"/>
          <w:snapToGrid/>
          <w:kern w:val="2"/>
          <w:sz w:val="28"/>
          <w:szCs w:val="28"/>
        </w:rPr>
      </w:pPr>
      <w:r>
        <w:rPr>
          <w:rFonts w:hint="eastAsia" w:eastAsia="仿宋"/>
          <w:b w:val="0"/>
          <w:bCs w:val="0"/>
          <w:snapToGrid/>
          <w:kern w:val="2"/>
          <w:sz w:val="28"/>
          <w:szCs w:val="28"/>
        </w:rPr>
        <w:t>图7.3-1  应急响应流程图</w:t>
      </w:r>
    </w:p>
    <w:p>
      <w:pPr>
        <w:pStyle w:val="8"/>
        <w:tabs>
          <w:tab w:val="clear" w:pos="425"/>
        </w:tabs>
        <w:spacing w:line="520" w:lineRule="exact"/>
        <w:ind w:left="0" w:firstLine="0"/>
        <w:rPr>
          <w:rFonts w:eastAsia="仿宋"/>
          <w:sz w:val="28"/>
          <w:szCs w:val="28"/>
        </w:rPr>
      </w:pPr>
      <w:bookmarkStart w:id="95" w:name="_Hlk99575053"/>
      <w:r>
        <w:rPr>
          <w:rFonts w:hAnsi="仿宋" w:eastAsia="仿宋"/>
          <w:sz w:val="28"/>
          <w:szCs w:val="28"/>
        </w:rPr>
        <w:t>内部接警与上报</w:t>
      </w:r>
    </w:p>
    <w:p>
      <w:pPr>
        <w:pStyle w:val="95"/>
        <w:spacing w:line="520" w:lineRule="exact"/>
        <w:ind w:firstLine="562"/>
        <w:jc w:val="both"/>
        <w:rPr>
          <w:rFonts w:eastAsia="仿宋"/>
          <w:b w:val="0"/>
          <w:bCs w:val="0"/>
          <w:sz w:val="28"/>
          <w:szCs w:val="28"/>
        </w:rPr>
      </w:pPr>
      <w:r>
        <w:rPr>
          <w:rFonts w:hAnsi="仿宋" w:eastAsia="仿宋"/>
          <w:b w:val="0"/>
          <w:bCs w:val="0"/>
          <w:sz w:val="28"/>
          <w:szCs w:val="28"/>
        </w:rPr>
        <w:t>公司突发环境事件责任人以及负有监管责任的人员发现突发环境事件后，在风险发生时第一时间向</w:t>
      </w:r>
      <w:r>
        <w:rPr>
          <w:rFonts w:hint="eastAsia" w:hAnsi="仿宋" w:eastAsia="仿宋"/>
          <w:b w:val="0"/>
          <w:bCs w:val="0"/>
          <w:sz w:val="28"/>
          <w:szCs w:val="28"/>
        </w:rPr>
        <w:t>公司领导</w:t>
      </w:r>
      <w:r>
        <w:rPr>
          <w:rFonts w:hAnsi="仿宋" w:eastAsia="仿宋"/>
          <w:b w:val="0"/>
          <w:bCs w:val="0"/>
          <w:sz w:val="28"/>
          <w:szCs w:val="28"/>
        </w:rPr>
        <w:t>上报。应急指挥组在接到信息后应立即召集应急指挥组成员，组织现场调查。</w:t>
      </w:r>
    </w:p>
    <w:p>
      <w:pPr>
        <w:pStyle w:val="9"/>
        <w:spacing w:before="0" w:after="0" w:line="520" w:lineRule="exact"/>
        <w:ind w:left="0" w:firstLine="0"/>
        <w:rPr>
          <w:rFonts w:eastAsia="仿宋"/>
        </w:rPr>
      </w:pPr>
      <w:r>
        <w:rPr>
          <w:rFonts w:hAnsi="仿宋" w:eastAsia="仿宋"/>
        </w:rPr>
        <w:t>初报</w:t>
      </w:r>
    </w:p>
    <w:p>
      <w:pPr>
        <w:pStyle w:val="95"/>
        <w:spacing w:line="520" w:lineRule="exact"/>
        <w:ind w:firstLine="562"/>
        <w:jc w:val="both"/>
        <w:rPr>
          <w:rFonts w:eastAsia="仿宋"/>
          <w:b w:val="0"/>
          <w:bCs w:val="0"/>
          <w:sz w:val="28"/>
          <w:szCs w:val="28"/>
        </w:rPr>
      </w:pPr>
      <w:r>
        <w:rPr>
          <w:rFonts w:hAnsi="仿宋" w:eastAsia="仿宋"/>
          <w:b w:val="0"/>
          <w:bCs w:val="0"/>
          <w:sz w:val="28"/>
          <w:szCs w:val="28"/>
        </w:rPr>
        <w:t>初报在发现和得知突发环境事件后上报。初报可用电话或传真直接报告，主要内容包括：单位发生事故概况；事故发生时间、</w:t>
      </w:r>
      <w:r>
        <w:rPr>
          <w:rFonts w:hint="eastAsia" w:hAnsi="仿宋" w:eastAsia="仿宋"/>
          <w:b w:val="0"/>
          <w:bCs w:val="0"/>
          <w:sz w:val="28"/>
          <w:szCs w:val="28"/>
        </w:rPr>
        <w:t>部位</w:t>
      </w:r>
      <w:r>
        <w:rPr>
          <w:rFonts w:hAnsi="仿宋" w:eastAsia="仿宋"/>
          <w:b w:val="0"/>
          <w:bCs w:val="0"/>
          <w:sz w:val="28"/>
          <w:szCs w:val="28"/>
        </w:rPr>
        <w:t>以及事故现场情况；事故简要经过；事故已造成的伤亡人数和初步统计的直接经济损失；已经采取的措施等内容。</w:t>
      </w:r>
    </w:p>
    <w:p>
      <w:pPr>
        <w:pStyle w:val="95"/>
        <w:spacing w:line="520" w:lineRule="exact"/>
        <w:ind w:firstLine="560"/>
        <w:rPr>
          <w:rFonts w:eastAsia="仿宋"/>
          <w:b w:val="0"/>
          <w:bCs w:val="0"/>
          <w:color w:val="auto"/>
          <w:sz w:val="28"/>
          <w:szCs w:val="28"/>
          <w:highlight w:val="none"/>
        </w:rPr>
      </w:pPr>
      <w:r>
        <w:rPr>
          <w:rFonts w:eastAsia="仿宋"/>
          <w:b w:val="0"/>
          <w:bCs w:val="0"/>
          <w:color w:val="auto"/>
          <w:sz w:val="28"/>
          <w:szCs w:val="28"/>
          <w:highlight w:val="none"/>
        </w:rPr>
        <mc:AlternateContent>
          <mc:Choice Requires="wps">
            <w:drawing>
              <wp:anchor distT="0" distB="0" distL="114300" distR="114300" simplePos="0" relativeHeight="251659264" behindDoc="0" locked="0" layoutInCell="1" allowOverlap="1">
                <wp:simplePos x="0" y="0"/>
                <wp:positionH relativeFrom="column">
                  <wp:posOffset>4566285</wp:posOffset>
                </wp:positionH>
                <wp:positionV relativeFrom="paragraph">
                  <wp:posOffset>260350</wp:posOffset>
                </wp:positionV>
                <wp:extent cx="0" cy="93980"/>
                <wp:effectExtent l="4445" t="0" r="14605" b="1270"/>
                <wp:wrapNone/>
                <wp:docPr id="6" name="自选图形 4"/>
                <wp:cNvGraphicFramePr/>
                <a:graphic xmlns:a="http://schemas.openxmlformats.org/drawingml/2006/main">
                  <a:graphicData uri="http://schemas.microsoft.com/office/word/2010/wordprocessingShape">
                    <wps:wsp>
                      <wps:cNvCnPr/>
                      <wps:spPr>
                        <a:xfrm>
                          <a:off x="0" y="0"/>
                          <a:ext cx="0" cy="93980"/>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自选图形 4" o:spid="_x0000_s1026" o:spt="32" type="#_x0000_t32" style="position:absolute;left:0pt;margin-left:359.55pt;margin-top:20.5pt;height:7.4pt;width:0pt;z-index:251659264;mso-width-relative:page;mso-height-relative:page;" filled="f" stroked="t" coordsize="21600,21600" o:gfxdata="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Ofbus7WAAAACQEAAA8AAAAAAAAAAQAgAAAAIgAAAGRycy9kb3ducmV2LnhtbFBL&#10;AQIUABQAAAAIAIdO4kCxZFNc+AEAAO8DAAAOAAAAAAAAAAEAIAAAACUBAABkcnMvZTJvRG9jLnht&#10;bFBLBQYAAAAABgAGAFkBAACPBQAAAAA=&#10;">
                <v:fill on="f" focussize="0,0"/>
                <v:stroke color="#000000" joinstyle="round"/>
                <v:imagedata o:title=""/>
                <o:lock v:ext="edit" aspectratio="f"/>
              </v:shape>
            </w:pict>
          </mc:Fallback>
        </mc:AlternateContent>
      </w:r>
      <w:r>
        <w:rPr>
          <w:rFonts w:eastAsia="仿宋"/>
          <w:b w:val="0"/>
          <w:bCs w:val="0"/>
          <w:color w:val="auto"/>
          <w:sz w:val="28"/>
          <w:szCs w:val="28"/>
          <w:highlight w:val="none"/>
        </w:rPr>
        <mc:AlternateContent>
          <mc:Choice Requires="wps">
            <w:drawing>
              <wp:anchor distT="0" distB="0" distL="114300" distR="114300" simplePos="0" relativeHeight="251659264" behindDoc="0" locked="0" layoutInCell="1" allowOverlap="1">
                <wp:simplePos x="0" y="0"/>
                <wp:positionH relativeFrom="column">
                  <wp:posOffset>2468880</wp:posOffset>
                </wp:positionH>
                <wp:positionV relativeFrom="paragraph">
                  <wp:posOffset>354330</wp:posOffset>
                </wp:positionV>
                <wp:extent cx="0" cy="137160"/>
                <wp:effectExtent l="38100" t="0" r="38100" b="15240"/>
                <wp:wrapNone/>
                <wp:docPr id="8" name="自选图形 2"/>
                <wp:cNvGraphicFramePr/>
                <a:graphic xmlns:a="http://schemas.openxmlformats.org/drawingml/2006/main">
                  <a:graphicData uri="http://schemas.microsoft.com/office/word/2010/wordprocessingShape">
                    <wps:wsp>
                      <wps:cNvCnPr/>
                      <wps:spPr>
                        <a:xfrm>
                          <a:off x="0" y="0"/>
                          <a:ext cx="0" cy="13716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2" o:spid="_x0000_s1026" o:spt="32" type="#_x0000_t32" style="position:absolute;left:0pt;margin-left:194.4pt;margin-top:27.9pt;height:10.8pt;width:0pt;z-index:251659264;mso-width-relative:page;mso-height-relative:page;" filled="f" stroked="t" coordsize="21600,21600" o:gfxdata="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jhiUl9kAAAAJAQAADwAAAAAAAAABACAAAAAiAAAAZHJzL2Rv&#10;d25yZXYueG1sUEsBAhQAFAAAAAgAh07iQHWKgGIAAgAA9AMAAA4AAAAAAAAAAQAgAAAAKAEAAGRy&#10;cy9lMm9Eb2MueG1sUEsFBgAAAAAGAAYAWQEAAJoFAAAAAA==&#10;">
                <v:fill on="f" focussize="0,0"/>
                <v:stroke color="#000000" joinstyle="round" endarrow="block"/>
                <v:imagedata o:title=""/>
                <o:lock v:ext="edit" aspectratio="f"/>
              </v:shape>
            </w:pict>
          </mc:Fallback>
        </mc:AlternateContent>
      </w:r>
      <w:r>
        <w:rPr>
          <w:rFonts w:eastAsia="仿宋"/>
          <w:b w:val="0"/>
          <w:bCs w:val="0"/>
          <w:color w:val="auto"/>
          <w:sz w:val="28"/>
          <w:szCs w:val="28"/>
          <w:highlight w:val="none"/>
        </w:rPr>
        <mc:AlternateContent>
          <mc:Choice Requires="wps">
            <w:drawing>
              <wp:anchor distT="0" distB="0" distL="114300" distR="114300" simplePos="0" relativeHeight="251659264" behindDoc="0" locked="0" layoutInCell="1" allowOverlap="1">
                <wp:simplePos x="0" y="0"/>
                <wp:positionH relativeFrom="column">
                  <wp:posOffset>2468880</wp:posOffset>
                </wp:positionH>
                <wp:positionV relativeFrom="paragraph">
                  <wp:posOffset>346075</wp:posOffset>
                </wp:positionV>
                <wp:extent cx="2097405" cy="8255"/>
                <wp:effectExtent l="0" t="0" r="0" b="0"/>
                <wp:wrapNone/>
                <wp:docPr id="7" name="自选图形 3"/>
                <wp:cNvGraphicFramePr/>
                <a:graphic xmlns:a="http://schemas.openxmlformats.org/drawingml/2006/main">
                  <a:graphicData uri="http://schemas.microsoft.com/office/word/2010/wordprocessingShape">
                    <wps:wsp>
                      <wps:cNvCnPr/>
                      <wps:spPr>
                        <a:xfrm flipH="1">
                          <a:off x="0" y="0"/>
                          <a:ext cx="2097405" cy="8255"/>
                        </a:xfrm>
                        <a:prstGeom prst="straightConnector1">
                          <a:avLst/>
                        </a:prstGeom>
                        <a:ln w="9525" cap="flat" cmpd="sng">
                          <a:solidFill>
                            <a:srgbClr val="000000"/>
                          </a:solidFill>
                          <a:prstDash val="solid"/>
                          <a:headEnd type="none" w="med" len="med"/>
                          <a:tailEnd type="none" w="med" len="med"/>
                        </a:ln>
                        <a:effectLst/>
                      </wps:spPr>
                      <wps:bodyPr/>
                    </wps:wsp>
                  </a:graphicData>
                </a:graphic>
              </wp:anchor>
            </w:drawing>
          </mc:Choice>
          <mc:Fallback>
            <w:pict>
              <v:shape id="自选图形 3" o:spid="_x0000_s1026" o:spt="32" type="#_x0000_t32" style="position:absolute;left:0pt;flip:x;margin-left:194.4pt;margin-top:27.25pt;height:0.65pt;width:165.15pt;z-index:251659264;mso-width-relative:page;mso-height-relative:page;" filled="f" stroked="t" coordsize="21600,21600" o:gfxdata="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iF8yF2AAAAAkBAAAPAAAAAAAAAAEAIAAAACIAAABkcnMv&#10;ZG93bnJldi54bWxQSwECFAAUAAAACACHTuJA/EvfJwMCAAD+AwAADgAAAAAAAAABACAAAAAnAQAA&#10;ZHJzL2Uyb0RvYy54bWxQSwUGAAAAAAYABgBZAQAAnAUAAAAA&#10;">
                <v:fill on="f" focussize="0,0"/>
                <v:stroke color="#000000" joinstyle="round"/>
                <v:imagedata o:title=""/>
                <o:lock v:ext="edit" aspectratio="f"/>
              </v:shape>
            </w:pict>
          </mc:Fallback>
        </mc:AlternateContent>
      </w:r>
      <w:r>
        <w:rPr>
          <w:rFonts w:eastAsia="仿宋"/>
          <w:b w:val="0"/>
          <w:bCs w:val="0"/>
          <w:color w:val="auto"/>
          <w:sz w:val="28"/>
          <w:szCs w:val="28"/>
          <w:highlight w:val="none"/>
        </w:rPr>
        <mc:AlternateContent>
          <mc:Choice Requires="wps">
            <w:drawing>
              <wp:anchor distT="0" distB="0" distL="114300" distR="114300" simplePos="0" relativeHeight="251659264" behindDoc="0" locked="0" layoutInCell="1" allowOverlap="1">
                <wp:simplePos x="0" y="0"/>
                <wp:positionH relativeFrom="column">
                  <wp:posOffset>181610</wp:posOffset>
                </wp:positionH>
                <wp:positionV relativeFrom="paragraph">
                  <wp:posOffset>889000</wp:posOffset>
                </wp:positionV>
                <wp:extent cx="241300" cy="4445"/>
                <wp:effectExtent l="0" t="36830" r="6350" b="34925"/>
                <wp:wrapNone/>
                <wp:docPr id="5" name="自选图形 9"/>
                <wp:cNvGraphicFramePr/>
                <a:graphic xmlns:a="http://schemas.openxmlformats.org/drawingml/2006/main">
                  <a:graphicData uri="http://schemas.microsoft.com/office/word/2010/wordprocessingShape">
                    <wps:wsp>
                      <wps:cNvCnPr/>
                      <wps:spPr>
                        <a:xfrm flipV="1">
                          <a:off x="0" y="0"/>
                          <a:ext cx="241300" cy="444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9" o:spid="_x0000_s1026" o:spt="32" type="#_x0000_t32" style="position:absolute;left:0pt;flip:y;margin-left:14.3pt;margin-top:70pt;height:0.35pt;width:19pt;z-index:251659264;mso-width-relative:page;mso-height-relative:page;" filled="f" stroked="t" coordsize="21600,21600" o:gfxdata="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yme2SdYAAAAJAQAADwAAAAAAAAABACAAAAAiAAAA&#10;ZHJzL2Rvd25yZXYueG1sUEsBAhQAFAAAAAgAh07iQGZyb84JAgAAAQQAAA4AAAAAAAAAAQAgAAAA&#10;JQEAAGRycy9lMm9Eb2MueG1sUEsFBgAAAAAGAAYAWQEAAKAFAAAAAA==&#10;">
                <v:fill on="f" focussize="0,0"/>
                <v:stroke color="#000000" joinstyle="round" endarrow="block"/>
                <v:imagedata o:title=""/>
                <o:lock v:ext="edit" aspectratio="f"/>
              </v:shape>
            </w:pict>
          </mc:Fallback>
        </mc:AlternateContent>
      </w:r>
      <w:r>
        <w:rPr>
          <w:rFonts w:eastAsia="仿宋"/>
          <w:b w:val="0"/>
          <w:bCs w:val="0"/>
          <w:color w:val="auto"/>
          <w:sz w:val="28"/>
          <w:szCs w:val="28"/>
          <w:highlight w:val="none"/>
        </w:rPr>
        <mc:AlternateContent>
          <mc:Choice Requires="wps">
            <w:drawing>
              <wp:anchor distT="0" distB="0" distL="114300" distR="114300" simplePos="0" relativeHeight="251659264" behindDoc="0" locked="0" layoutInCell="1" allowOverlap="1">
                <wp:simplePos x="0" y="0"/>
                <wp:positionH relativeFrom="column">
                  <wp:posOffset>2569845</wp:posOffset>
                </wp:positionH>
                <wp:positionV relativeFrom="paragraph">
                  <wp:posOffset>536575</wp:posOffset>
                </wp:positionV>
                <wp:extent cx="243840" cy="8255"/>
                <wp:effectExtent l="0" t="35560" r="3810" b="32385"/>
                <wp:wrapNone/>
                <wp:docPr id="4" name="自选图形 5"/>
                <wp:cNvGraphicFramePr/>
                <a:graphic xmlns:a="http://schemas.openxmlformats.org/drawingml/2006/main">
                  <a:graphicData uri="http://schemas.microsoft.com/office/word/2010/wordprocessingShape">
                    <wps:wsp>
                      <wps:cNvCnPr/>
                      <wps:spPr>
                        <a:xfrm flipV="1">
                          <a:off x="0" y="0"/>
                          <a:ext cx="243840" cy="825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5" o:spid="_x0000_s1026" o:spt="32" type="#_x0000_t32" style="position:absolute;left:0pt;flip:y;margin-left:202.35pt;margin-top:42.25pt;height:0.65pt;width:19.2pt;z-index:251659264;mso-width-relative:page;mso-height-relative:page;" filled="f" stroked="t" coordsize="21600,21600" o:gfxdata="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nNvfi2QAAAAkBAAAPAAAAAAAAAAEAIAAA&#10;ACIAAABkcnMvZG93bnJldi54bWxQSwECFAAUAAAACACHTuJAN5AXSAsCAAABBAAADgAAAAAAAAAB&#10;ACAAAAAoAQAAZHJzL2Uyb0RvYy54bWxQSwUGAAAAAAYABgBZAQAApQUAAAAA&#10;">
                <v:fill on="f" focussize="0,0"/>
                <v:stroke color="#000000" joinstyle="round" endarrow="block"/>
                <v:imagedata o:title=""/>
                <o:lock v:ext="edit" aspectratio="f"/>
              </v:shape>
            </w:pict>
          </mc:Fallback>
        </mc:AlternateContent>
      </w:r>
      <w:r>
        <w:rPr>
          <w:rFonts w:eastAsia="仿宋"/>
          <w:b w:val="0"/>
          <w:bCs w:val="0"/>
          <w:color w:val="auto"/>
          <w:sz w:val="28"/>
          <w:szCs w:val="28"/>
          <w:highlight w:val="none"/>
        </w:rPr>
        <mc:AlternateContent>
          <mc:Choice Requires="wps">
            <w:drawing>
              <wp:anchor distT="0" distB="0" distL="114300" distR="114300" simplePos="0" relativeHeight="251659264" behindDoc="0" locked="0" layoutInCell="1" allowOverlap="1">
                <wp:simplePos x="0" y="0"/>
                <wp:positionH relativeFrom="column">
                  <wp:posOffset>927735</wp:posOffset>
                </wp:positionH>
                <wp:positionV relativeFrom="paragraph">
                  <wp:posOffset>527050</wp:posOffset>
                </wp:positionV>
                <wp:extent cx="200025" cy="8255"/>
                <wp:effectExtent l="0" t="34925" r="9525" b="33020"/>
                <wp:wrapNone/>
                <wp:docPr id="3" name="自选图形 6"/>
                <wp:cNvGraphicFramePr/>
                <a:graphic xmlns:a="http://schemas.openxmlformats.org/drawingml/2006/main">
                  <a:graphicData uri="http://schemas.microsoft.com/office/word/2010/wordprocessingShape">
                    <wps:wsp>
                      <wps:cNvCnPr/>
                      <wps:spPr>
                        <a:xfrm flipV="1">
                          <a:off x="0" y="0"/>
                          <a:ext cx="200025" cy="825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6" o:spid="_x0000_s1026" o:spt="32" type="#_x0000_t32" style="position:absolute;left:0pt;flip:y;margin-left:73.05pt;margin-top:41.5pt;height:0.65pt;width:15.75pt;z-index:251659264;mso-width-relative:page;mso-height-relative:page;" filled="f" stroked="t" coordsize="21600,21600" o:gfxdata="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M5KilvYAAAACQEAAA8AAAAAAAAAAQAgAAAAIgAA&#10;AGRycy9kb3ducmV2LnhtbFBLAQIUABQAAAAIAIdO4kCZkKWbCAIAAAEEAAAOAAAAAAAAAAEAIAAA&#10;ACcBAABkcnMvZTJvRG9jLnhtbFBLBQYAAAAABgAGAFkBAAChBQAAAAA=&#10;">
                <v:fill on="f" focussize="0,0"/>
                <v:stroke color="#000000" joinstyle="round" endarrow="block"/>
                <v:imagedata o:title=""/>
                <o:lock v:ext="edit" aspectratio="f"/>
              </v:shape>
            </w:pict>
          </mc:Fallback>
        </mc:AlternateContent>
      </w:r>
      <w:r>
        <w:rPr>
          <w:rFonts w:eastAsia="仿宋"/>
          <w:b w:val="0"/>
          <w:bCs w:val="0"/>
          <w:color w:val="auto"/>
          <w:sz w:val="28"/>
          <w:szCs w:val="28"/>
          <w:highlight w:val="none"/>
        </w:rPr>
        <mc:AlternateContent>
          <mc:Choice Requires="wps">
            <w:drawing>
              <wp:anchor distT="0" distB="0" distL="114300" distR="114300" simplePos="0" relativeHeight="251659264" behindDoc="0" locked="0" layoutInCell="1" allowOverlap="1">
                <wp:simplePos x="0" y="0"/>
                <wp:positionH relativeFrom="column">
                  <wp:posOffset>3648075</wp:posOffset>
                </wp:positionH>
                <wp:positionV relativeFrom="paragraph">
                  <wp:posOffset>212725</wp:posOffset>
                </wp:positionV>
                <wp:extent cx="241935" cy="635"/>
                <wp:effectExtent l="0" t="38100" r="5715" b="37465"/>
                <wp:wrapNone/>
                <wp:docPr id="2" name="自选图形 7"/>
                <wp:cNvGraphicFramePr/>
                <a:graphic xmlns:a="http://schemas.openxmlformats.org/drawingml/2006/main">
                  <a:graphicData uri="http://schemas.microsoft.com/office/word/2010/wordprocessingShape">
                    <wps:wsp>
                      <wps:cNvCnPr/>
                      <wps:spPr>
                        <a:xfrm flipV="1">
                          <a:off x="0" y="0"/>
                          <a:ext cx="241935" cy="63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7" o:spid="_x0000_s1026" o:spt="32" type="#_x0000_t32" style="position:absolute;left:0pt;flip:y;margin-left:287.25pt;margin-top:16.75pt;height:0.05pt;width:19.05pt;z-index:251659264;mso-width-relative:page;mso-height-relative:page;" filled="f" stroked="t" coordsize="21600,21600" o:gfxdata="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jcEmTYAAAACQEAAA8AAAAAAAAAAQAgAAAAIgAA&#10;AGRycy9kb3ducmV2LnhtbFBLAQIUABQAAAAIAIdO4kA4klRwCAIAAAAEAAAOAAAAAAAAAAEAIAAA&#10;ACcBAABkcnMvZTJvRG9jLnhtbFBLBQYAAAAABgAGAFkBAAChBQAAAAA=&#10;">
                <v:fill on="f" focussize="0,0"/>
                <v:stroke color="#000000" joinstyle="round" endarrow="block"/>
                <v:imagedata o:title=""/>
                <o:lock v:ext="edit" aspectratio="f"/>
              </v:shape>
            </w:pict>
          </mc:Fallback>
        </mc:AlternateContent>
      </w:r>
      <w:r>
        <w:rPr>
          <w:rFonts w:eastAsia="仿宋"/>
          <w:b w:val="0"/>
          <w:bCs w:val="0"/>
          <w:color w:val="auto"/>
          <w:sz w:val="28"/>
          <w:szCs w:val="28"/>
          <w:highlight w:val="none"/>
        </w:rPr>
        <mc:AlternateContent>
          <mc:Choice Requires="wps">
            <w:drawing>
              <wp:anchor distT="0" distB="0" distL="114300" distR="114300" simplePos="0" relativeHeight="251659264" behindDoc="0" locked="0" layoutInCell="1" allowOverlap="1">
                <wp:simplePos x="0" y="0"/>
                <wp:positionH relativeFrom="column">
                  <wp:posOffset>2853690</wp:posOffset>
                </wp:positionH>
                <wp:positionV relativeFrom="paragraph">
                  <wp:posOffset>212725</wp:posOffset>
                </wp:positionV>
                <wp:extent cx="245745" cy="635"/>
                <wp:effectExtent l="0" t="38100" r="1905" b="37465"/>
                <wp:wrapNone/>
                <wp:docPr id="1" name="自选图形 8"/>
                <wp:cNvGraphicFramePr/>
                <a:graphic xmlns:a="http://schemas.openxmlformats.org/drawingml/2006/main">
                  <a:graphicData uri="http://schemas.microsoft.com/office/word/2010/wordprocessingShape">
                    <wps:wsp>
                      <wps:cNvCnPr/>
                      <wps:spPr>
                        <a:xfrm flipV="1">
                          <a:off x="0" y="0"/>
                          <a:ext cx="245745" cy="63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自选图形 8" o:spid="_x0000_s1026" o:spt="32" type="#_x0000_t32" style="position:absolute;left:0pt;flip:y;margin-left:224.7pt;margin-top:16.75pt;height:0.05pt;width:19.35pt;z-index:251659264;mso-width-relative:page;mso-height-relative:page;" filled="f" stroked="t" coordsize="21600,21600" o:gfxdata="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QH6mS2QAAAAkBAAAPAAAAAAAAAAEAIAAAACIA&#10;AABkcnMvZG93bnJldi54bWxQSwECFAAUAAAACACHTuJAqzwSDggCAAAABAAADgAAAAAAAAABACAA&#10;AAAoAQAAZHJzL2Uyb0RvYy54bWxQSwUGAAAAAAYABgBZAQAAogUAAAAA&#10;">
                <v:fill on="f" focussize="0,0"/>
                <v:stroke color="#000000" joinstyle="round" endarrow="block"/>
                <v:imagedata o:title=""/>
                <o:lock v:ext="edit" aspectratio="f"/>
              </v:shape>
            </w:pict>
          </mc:Fallback>
        </mc:AlternateContent>
      </w:r>
      <w:r>
        <w:rPr>
          <w:rFonts w:hAnsi="仿宋" w:eastAsia="仿宋"/>
          <w:b w:val="0"/>
          <w:bCs w:val="0"/>
          <w:color w:val="auto"/>
          <w:sz w:val="28"/>
          <w:szCs w:val="28"/>
          <w:highlight w:val="none"/>
        </w:rPr>
        <w:t>信息传递：事故现场第一发现者</w:t>
      </w:r>
      <w:r>
        <w:rPr>
          <w:rFonts w:hint="eastAsia" w:hAnsi="仿宋" w:eastAsia="仿宋"/>
          <w:b w:val="0"/>
          <w:bCs w:val="0"/>
          <w:color w:val="auto"/>
          <w:sz w:val="28"/>
          <w:szCs w:val="28"/>
          <w:highlight w:val="none"/>
          <w:lang w:val="en-US" w:eastAsia="zh-CN"/>
        </w:rPr>
        <w:t xml:space="preserve">     </w:t>
      </w:r>
      <w:r>
        <w:rPr>
          <w:rFonts w:hAnsi="仿宋" w:eastAsia="仿宋"/>
          <w:b w:val="0"/>
          <w:bCs w:val="0"/>
          <w:color w:val="auto"/>
          <w:sz w:val="28"/>
          <w:szCs w:val="28"/>
          <w:highlight w:val="none"/>
        </w:rPr>
        <w:t>值班室</w:t>
      </w:r>
      <w:r>
        <w:rPr>
          <w:rFonts w:hint="eastAsia" w:hAnsi="仿宋" w:eastAsia="仿宋"/>
          <w:b w:val="0"/>
          <w:bCs w:val="0"/>
          <w:color w:val="auto"/>
          <w:sz w:val="28"/>
          <w:szCs w:val="28"/>
          <w:highlight w:val="none"/>
          <w:lang w:val="en-US" w:eastAsia="zh-CN"/>
        </w:rPr>
        <w:t xml:space="preserve">      </w:t>
      </w:r>
      <w:r>
        <w:rPr>
          <w:rFonts w:hAnsi="仿宋" w:eastAsia="仿宋"/>
          <w:b w:val="0"/>
          <w:bCs w:val="0"/>
          <w:color w:val="auto"/>
          <w:sz w:val="28"/>
          <w:szCs w:val="28"/>
          <w:highlight w:val="none"/>
        </w:rPr>
        <w:t>环境应急指挥部办公室主任</w:t>
      </w:r>
      <w:r>
        <w:rPr>
          <w:rFonts w:hint="eastAsia" w:hAnsi="仿宋" w:eastAsia="仿宋"/>
          <w:b w:val="0"/>
          <w:bCs w:val="0"/>
          <w:color w:val="auto"/>
          <w:sz w:val="28"/>
          <w:szCs w:val="28"/>
          <w:highlight w:val="none"/>
          <w:lang w:val="en-US" w:eastAsia="zh-CN"/>
        </w:rPr>
        <w:t xml:space="preserve">     </w:t>
      </w:r>
      <w:r>
        <w:rPr>
          <w:rFonts w:hAnsi="仿宋" w:eastAsia="仿宋"/>
          <w:b w:val="0"/>
          <w:bCs w:val="0"/>
          <w:color w:val="auto"/>
          <w:sz w:val="28"/>
          <w:szCs w:val="28"/>
          <w:highlight w:val="none"/>
        </w:rPr>
        <w:t>总指挥或副总指挥</w:t>
      </w:r>
      <w:r>
        <w:rPr>
          <w:rFonts w:hint="eastAsia" w:hAnsi="仿宋" w:eastAsia="仿宋"/>
          <w:b w:val="0"/>
          <w:bCs w:val="0"/>
          <w:color w:val="auto"/>
          <w:sz w:val="28"/>
          <w:szCs w:val="28"/>
          <w:highlight w:val="none"/>
          <w:lang w:val="en-US" w:eastAsia="zh-CN"/>
        </w:rPr>
        <w:t xml:space="preserve">      </w:t>
      </w:r>
      <w:r>
        <w:rPr>
          <w:rFonts w:hint="eastAsia" w:hAnsi="仿宋" w:eastAsia="仿宋"/>
          <w:b w:val="0"/>
          <w:bCs w:val="0"/>
          <w:color w:val="auto"/>
          <w:sz w:val="28"/>
          <w:szCs w:val="28"/>
          <w:highlight w:val="none"/>
          <w:lang w:eastAsia="zh-CN"/>
        </w:rPr>
        <w:t>远安航天动力材料产业园</w:t>
      </w:r>
      <w:r>
        <w:rPr>
          <w:rFonts w:hAnsi="仿宋" w:eastAsia="仿宋"/>
          <w:b w:val="0"/>
          <w:bCs w:val="0"/>
          <w:color w:val="auto"/>
          <w:sz w:val="28"/>
          <w:szCs w:val="28"/>
          <w:highlight w:val="none"/>
        </w:rPr>
        <w:t>管委会</w:t>
      </w:r>
      <w:r>
        <w:rPr>
          <w:rFonts w:hint="eastAsia" w:hAnsi="仿宋" w:eastAsia="仿宋"/>
          <w:b w:val="0"/>
          <w:bCs w:val="0"/>
          <w:color w:val="auto"/>
          <w:sz w:val="28"/>
          <w:szCs w:val="28"/>
          <w:highlight w:val="none"/>
          <w:lang w:val="en-US" w:eastAsia="zh-CN"/>
        </w:rPr>
        <w:t xml:space="preserve">      </w:t>
      </w:r>
      <w:r>
        <w:rPr>
          <w:rFonts w:hAnsi="仿宋" w:eastAsia="仿宋"/>
          <w:b w:val="0"/>
          <w:bCs w:val="0"/>
          <w:color w:val="auto"/>
          <w:sz w:val="28"/>
          <w:szCs w:val="28"/>
          <w:highlight w:val="none"/>
        </w:rPr>
        <w:t>宜昌市生态环境局</w:t>
      </w:r>
      <w:r>
        <w:rPr>
          <w:rFonts w:hint="eastAsia" w:hAnsi="仿宋" w:eastAsia="仿宋"/>
          <w:b w:val="0"/>
          <w:bCs w:val="0"/>
          <w:color w:val="auto"/>
          <w:sz w:val="28"/>
          <w:szCs w:val="28"/>
          <w:highlight w:val="none"/>
          <w:lang w:eastAsia="zh-CN"/>
        </w:rPr>
        <w:t>远安县</w:t>
      </w:r>
      <w:r>
        <w:rPr>
          <w:rFonts w:hAnsi="仿宋" w:eastAsia="仿宋"/>
          <w:b w:val="0"/>
          <w:bCs w:val="0"/>
          <w:color w:val="auto"/>
          <w:sz w:val="28"/>
          <w:szCs w:val="28"/>
          <w:highlight w:val="none"/>
        </w:rPr>
        <w:t>分局</w:t>
      </w:r>
      <w:r>
        <w:rPr>
          <w:rFonts w:hint="eastAsia" w:hAnsi="仿宋" w:eastAsia="仿宋"/>
          <w:b w:val="0"/>
          <w:bCs w:val="0"/>
          <w:color w:val="auto"/>
          <w:sz w:val="28"/>
          <w:szCs w:val="28"/>
          <w:highlight w:val="none"/>
          <w:lang w:eastAsia="zh-CN"/>
        </w:rPr>
        <w:t>。</w:t>
      </w:r>
    </w:p>
    <w:p>
      <w:pPr>
        <w:pStyle w:val="9"/>
        <w:spacing w:before="0" w:after="0" w:line="520" w:lineRule="exact"/>
        <w:ind w:left="0" w:firstLine="0"/>
        <w:rPr>
          <w:rFonts w:eastAsia="仿宋"/>
        </w:rPr>
      </w:pPr>
      <w:r>
        <w:rPr>
          <w:rFonts w:hAnsi="仿宋" w:eastAsia="仿宋"/>
        </w:rPr>
        <w:t>续报</w:t>
      </w:r>
    </w:p>
    <w:p>
      <w:pPr>
        <w:pStyle w:val="95"/>
        <w:spacing w:line="520" w:lineRule="exact"/>
        <w:ind w:firstLine="562"/>
        <w:jc w:val="both"/>
        <w:rPr>
          <w:rFonts w:eastAsia="仿宋"/>
          <w:b w:val="0"/>
          <w:bCs w:val="0"/>
          <w:sz w:val="28"/>
          <w:szCs w:val="28"/>
        </w:rPr>
      </w:pPr>
      <w:r>
        <w:rPr>
          <w:rFonts w:hAnsi="仿宋" w:eastAsia="仿宋"/>
          <w:b w:val="0"/>
          <w:bCs w:val="0"/>
          <w:sz w:val="28"/>
          <w:szCs w:val="28"/>
        </w:rPr>
        <w:t>续报在查清有关基本情况后随时上报。续报可通过网络或书面报告，视突发环境事件进展情况可一次或多次报告。在初报的基础上报告突发环境事件有关确切监测数据、发生的原因、过程、进展情况、地表水体等环境敏感点受影响情况、事件潜在危害程度、事件发展趋势及采取的应急措施、处置情况、措施效果等基本情况。</w:t>
      </w:r>
    </w:p>
    <w:p>
      <w:pPr>
        <w:pStyle w:val="9"/>
        <w:spacing w:before="0" w:after="0" w:line="520" w:lineRule="exact"/>
        <w:ind w:left="0" w:firstLine="0"/>
        <w:rPr>
          <w:rFonts w:hAnsi="仿宋" w:eastAsia="仿宋"/>
        </w:rPr>
      </w:pPr>
      <w:r>
        <w:rPr>
          <w:rFonts w:hAnsi="仿宋" w:eastAsia="仿宋"/>
        </w:rPr>
        <w:t>处理结果报告</w:t>
      </w:r>
    </w:p>
    <w:p>
      <w:pPr>
        <w:pStyle w:val="95"/>
        <w:spacing w:line="520" w:lineRule="exact"/>
        <w:ind w:firstLine="562"/>
        <w:rPr>
          <w:rFonts w:eastAsia="仿宋"/>
          <w:b w:val="0"/>
          <w:bCs w:val="0"/>
          <w:sz w:val="28"/>
          <w:szCs w:val="28"/>
        </w:rPr>
      </w:pPr>
      <w:r>
        <w:rPr>
          <w:rFonts w:hAnsi="仿宋" w:eastAsia="仿宋"/>
          <w:b w:val="0"/>
          <w:bCs w:val="0"/>
          <w:sz w:val="28"/>
          <w:szCs w:val="28"/>
        </w:rPr>
        <w:t>处理结果报告在突发环境事件处理完毕后上报。处理结果报告采用书面报告，处理结果报告在初报和续报的基础上，报告处理突发环境事件的措施、过程和结果，事件潜在或间接的危害及损失、社会影响，处理后的遗留问题，参加处理工作的有关部门和工作内容，出具有关危害与损失的证明文件、责任追究等详细情况。处理结果报告应在突发环境事件处理完毕后立即送报。</w:t>
      </w:r>
    </w:p>
    <w:p>
      <w:pPr>
        <w:pStyle w:val="8"/>
        <w:tabs>
          <w:tab w:val="clear" w:pos="425"/>
        </w:tabs>
        <w:spacing w:line="520" w:lineRule="exact"/>
        <w:rPr>
          <w:rFonts w:eastAsia="仿宋"/>
          <w:sz w:val="28"/>
          <w:szCs w:val="28"/>
        </w:rPr>
      </w:pPr>
      <w:r>
        <w:rPr>
          <w:rFonts w:hAnsi="仿宋" w:eastAsia="仿宋"/>
          <w:sz w:val="28"/>
          <w:szCs w:val="28"/>
        </w:rPr>
        <w:t>外部信息报告与通报</w:t>
      </w:r>
    </w:p>
    <w:p>
      <w:pPr>
        <w:pStyle w:val="95"/>
        <w:spacing w:line="520" w:lineRule="exact"/>
        <w:ind w:firstLine="562"/>
        <w:jc w:val="both"/>
        <w:rPr>
          <w:rFonts w:eastAsia="仿宋"/>
          <w:b w:val="0"/>
          <w:bCs w:val="0"/>
          <w:sz w:val="28"/>
          <w:szCs w:val="28"/>
        </w:rPr>
      </w:pPr>
      <w:r>
        <w:rPr>
          <w:rFonts w:hAnsi="仿宋" w:eastAsia="仿宋"/>
          <w:b w:val="0"/>
          <w:bCs w:val="0"/>
          <w:sz w:val="28"/>
          <w:szCs w:val="28"/>
        </w:rPr>
        <w:t>按照《环境保护性质主管部门突发环境事件信息报告办法（试行）》及国家有关规定，明确公司的信息报告和通报时限发布的程序，内容和方式。</w:t>
      </w:r>
    </w:p>
    <w:p>
      <w:pPr>
        <w:pStyle w:val="95"/>
        <w:spacing w:line="520" w:lineRule="exact"/>
        <w:ind w:firstLine="562"/>
        <w:rPr>
          <w:rFonts w:eastAsia="仿宋"/>
          <w:b w:val="0"/>
          <w:bCs w:val="0"/>
          <w:sz w:val="28"/>
          <w:szCs w:val="28"/>
        </w:rPr>
      </w:pPr>
      <w:r>
        <w:rPr>
          <w:rFonts w:hAnsi="仿宋" w:eastAsia="仿宋"/>
          <w:b w:val="0"/>
          <w:bCs w:val="0"/>
          <w:sz w:val="28"/>
          <w:szCs w:val="28"/>
        </w:rPr>
        <w:t>信息报告级别与应急响应级别关系见表</w:t>
      </w:r>
      <w:r>
        <w:rPr>
          <w:rFonts w:hint="eastAsia" w:eastAsia="仿宋"/>
          <w:b w:val="0"/>
          <w:bCs w:val="0"/>
          <w:sz w:val="28"/>
          <w:szCs w:val="28"/>
        </w:rPr>
        <w:t>7.3</w:t>
      </w:r>
      <w:r>
        <w:rPr>
          <w:rFonts w:eastAsia="仿宋"/>
          <w:b w:val="0"/>
          <w:bCs w:val="0"/>
          <w:sz w:val="28"/>
          <w:szCs w:val="28"/>
        </w:rPr>
        <w:t>-1</w:t>
      </w:r>
      <w:r>
        <w:rPr>
          <w:rFonts w:hAnsi="仿宋" w:eastAsia="仿宋"/>
          <w:b w:val="0"/>
          <w:bCs w:val="0"/>
          <w:sz w:val="28"/>
          <w:szCs w:val="28"/>
        </w:rPr>
        <w:t>。</w:t>
      </w:r>
    </w:p>
    <w:p>
      <w:pPr>
        <w:pStyle w:val="32"/>
        <w:spacing w:line="240" w:lineRule="auto"/>
        <w:rPr>
          <w:rFonts w:eastAsia="仿宋"/>
          <w:b w:val="0"/>
          <w:bCs w:val="0"/>
          <w:snapToGrid/>
          <w:kern w:val="2"/>
          <w:sz w:val="28"/>
          <w:szCs w:val="28"/>
        </w:rPr>
      </w:pPr>
      <w:r>
        <w:rPr>
          <w:rFonts w:hint="eastAsia" w:eastAsia="仿宋"/>
          <w:b w:val="0"/>
          <w:bCs w:val="0"/>
          <w:snapToGrid/>
          <w:kern w:val="2"/>
          <w:sz w:val="28"/>
          <w:szCs w:val="28"/>
        </w:rPr>
        <w:t>表7.3-1  信息报告级别与应急响应级别关系</w:t>
      </w:r>
    </w:p>
    <w:tbl>
      <w:tblPr>
        <w:tblStyle w:val="35"/>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142"/>
        <w:gridCol w:w="5620"/>
        <w:gridCol w:w="176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13" w:type="pct"/>
            <w:noWrap/>
            <w:vAlign w:val="center"/>
          </w:tcPr>
          <w:p>
            <w:pPr>
              <w:jc w:val="center"/>
              <w:rPr>
                <w:rFonts w:ascii="仿宋" w:hAnsi="仿宋" w:eastAsia="仿宋" w:cs="仿宋"/>
                <w:b/>
                <w:bCs/>
                <w:sz w:val="22"/>
              </w:rPr>
            </w:pPr>
            <w:r>
              <w:rPr>
                <w:rFonts w:hint="eastAsia" w:ascii="仿宋" w:hAnsi="仿宋" w:eastAsia="仿宋" w:cs="仿宋"/>
                <w:b/>
                <w:bCs/>
                <w:sz w:val="22"/>
              </w:rPr>
              <w:t>响应等级</w:t>
            </w:r>
          </w:p>
        </w:tc>
        <w:tc>
          <w:tcPr>
            <w:tcW w:w="2616" w:type="pct"/>
            <w:noWrap/>
            <w:vAlign w:val="center"/>
          </w:tcPr>
          <w:p>
            <w:pPr>
              <w:jc w:val="center"/>
              <w:rPr>
                <w:rFonts w:ascii="仿宋" w:hAnsi="仿宋" w:eastAsia="仿宋" w:cs="仿宋"/>
                <w:b/>
                <w:bCs/>
                <w:sz w:val="22"/>
              </w:rPr>
            </w:pPr>
            <w:r>
              <w:rPr>
                <w:rFonts w:hint="eastAsia" w:ascii="仿宋" w:hAnsi="仿宋" w:eastAsia="仿宋" w:cs="仿宋"/>
                <w:b/>
                <w:bCs/>
                <w:sz w:val="22"/>
              </w:rPr>
              <w:t>信息上报级别</w:t>
            </w:r>
          </w:p>
        </w:tc>
        <w:tc>
          <w:tcPr>
            <w:tcW w:w="1469" w:type="pct"/>
            <w:noWrap/>
            <w:vAlign w:val="center"/>
          </w:tcPr>
          <w:p>
            <w:pPr>
              <w:jc w:val="center"/>
              <w:rPr>
                <w:rFonts w:ascii="仿宋" w:hAnsi="仿宋" w:eastAsia="仿宋" w:cs="仿宋"/>
                <w:b/>
                <w:bCs/>
                <w:sz w:val="22"/>
              </w:rPr>
            </w:pPr>
            <w:r>
              <w:rPr>
                <w:rFonts w:hint="eastAsia" w:ascii="仿宋" w:hAnsi="仿宋" w:eastAsia="仿宋" w:cs="仿宋"/>
                <w:b/>
                <w:bCs/>
                <w:sz w:val="22"/>
              </w:rPr>
              <w:t>突发环境事件等级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13" w:type="pct"/>
            <w:noWrap/>
            <w:vAlign w:val="center"/>
          </w:tcPr>
          <w:p>
            <w:pPr>
              <w:jc w:val="center"/>
              <w:rPr>
                <w:rFonts w:ascii="仿宋" w:hAnsi="仿宋" w:eastAsia="仿宋" w:cs="仿宋"/>
                <w:sz w:val="22"/>
              </w:rPr>
            </w:pPr>
            <w:r>
              <w:rPr>
                <w:rFonts w:hint="eastAsia" w:ascii="仿宋" w:hAnsi="仿宋" w:eastAsia="仿宋" w:cs="仿宋"/>
                <w:sz w:val="22"/>
              </w:rPr>
              <w:t>红色响应级别</w:t>
            </w:r>
          </w:p>
        </w:tc>
        <w:tc>
          <w:tcPr>
            <w:tcW w:w="2616" w:type="pct"/>
            <w:noWrap/>
            <w:vAlign w:val="center"/>
          </w:tcPr>
          <w:p>
            <w:pPr>
              <w:jc w:val="center"/>
              <w:rPr>
                <w:rFonts w:ascii="仿宋" w:hAnsi="仿宋" w:eastAsia="仿宋" w:cs="仿宋"/>
                <w:sz w:val="22"/>
              </w:rPr>
            </w:pPr>
            <w:r>
              <w:rPr>
                <w:rFonts w:hint="eastAsia" w:ascii="仿宋" w:hAnsi="仿宋" w:eastAsia="仿宋" w:cs="仿宋"/>
                <w:sz w:val="22"/>
              </w:rPr>
              <w:t>湖北航欧新材料科技有限公司、宜昌市生态环境局远安县分局、远安县人民政府</w:t>
            </w:r>
          </w:p>
        </w:tc>
        <w:tc>
          <w:tcPr>
            <w:tcW w:w="1469" w:type="pct"/>
            <w:noWrap/>
            <w:vAlign w:val="center"/>
          </w:tcPr>
          <w:p>
            <w:pPr>
              <w:jc w:val="center"/>
              <w:rPr>
                <w:rFonts w:ascii="仿宋" w:hAnsi="仿宋" w:eastAsia="仿宋" w:cs="仿宋"/>
                <w:sz w:val="22"/>
              </w:rPr>
            </w:pPr>
            <w:r>
              <w:rPr>
                <w:rFonts w:hint="eastAsia" w:ascii="仿宋" w:hAnsi="仿宋" w:eastAsia="仿宋" w:cs="仿宋"/>
                <w:sz w:val="22"/>
              </w:rPr>
              <w:t>重大环境事件（Ⅰ级）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13" w:type="pct"/>
            <w:noWrap/>
            <w:vAlign w:val="center"/>
          </w:tcPr>
          <w:p>
            <w:pPr>
              <w:jc w:val="center"/>
              <w:rPr>
                <w:rFonts w:ascii="仿宋" w:hAnsi="仿宋" w:eastAsia="仿宋" w:cs="仿宋"/>
                <w:sz w:val="22"/>
              </w:rPr>
            </w:pPr>
            <w:r>
              <w:rPr>
                <w:rFonts w:hint="eastAsia" w:ascii="仿宋" w:hAnsi="仿宋" w:eastAsia="仿宋" w:cs="仿宋"/>
                <w:sz w:val="22"/>
              </w:rPr>
              <w:t>橙色响应级别</w:t>
            </w:r>
          </w:p>
        </w:tc>
        <w:tc>
          <w:tcPr>
            <w:tcW w:w="2616" w:type="pct"/>
            <w:noWrap/>
            <w:vAlign w:val="center"/>
          </w:tcPr>
          <w:p>
            <w:pPr>
              <w:jc w:val="center"/>
              <w:rPr>
                <w:rFonts w:ascii="仿宋" w:hAnsi="仿宋" w:eastAsia="仿宋" w:cs="仿宋"/>
                <w:sz w:val="22"/>
              </w:rPr>
            </w:pPr>
            <w:r>
              <w:rPr>
                <w:rFonts w:hint="eastAsia" w:ascii="仿宋" w:hAnsi="仿宋" w:eastAsia="仿宋" w:cs="仿宋"/>
                <w:sz w:val="22"/>
              </w:rPr>
              <w:t>湖北航欧新材料科技有限公司</w:t>
            </w:r>
          </w:p>
        </w:tc>
        <w:tc>
          <w:tcPr>
            <w:tcW w:w="1469" w:type="pct"/>
            <w:noWrap/>
            <w:vAlign w:val="center"/>
          </w:tcPr>
          <w:p>
            <w:pPr>
              <w:jc w:val="center"/>
              <w:rPr>
                <w:rFonts w:ascii="仿宋" w:hAnsi="仿宋" w:eastAsia="仿宋" w:cs="仿宋"/>
                <w:sz w:val="22"/>
              </w:rPr>
            </w:pPr>
            <w:r>
              <w:rPr>
                <w:rFonts w:hint="eastAsia" w:ascii="仿宋" w:hAnsi="仿宋" w:eastAsia="仿宋" w:cs="仿宋"/>
                <w:sz w:val="22"/>
              </w:rPr>
              <w:t>较大环境事件（Ⅱ级）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13" w:type="pct"/>
            <w:noWrap/>
            <w:vAlign w:val="center"/>
          </w:tcPr>
          <w:p>
            <w:pPr>
              <w:jc w:val="center"/>
              <w:rPr>
                <w:rFonts w:ascii="仿宋" w:hAnsi="仿宋" w:eastAsia="仿宋" w:cs="仿宋"/>
                <w:sz w:val="22"/>
              </w:rPr>
            </w:pPr>
            <w:r>
              <w:rPr>
                <w:rFonts w:hint="eastAsia" w:ascii="仿宋" w:hAnsi="仿宋" w:eastAsia="仿宋" w:cs="仿宋"/>
                <w:sz w:val="22"/>
              </w:rPr>
              <w:t>黄色响应级别</w:t>
            </w:r>
          </w:p>
        </w:tc>
        <w:tc>
          <w:tcPr>
            <w:tcW w:w="2616" w:type="pct"/>
            <w:noWrap/>
            <w:vAlign w:val="center"/>
          </w:tcPr>
          <w:p>
            <w:pPr>
              <w:jc w:val="center"/>
              <w:rPr>
                <w:rFonts w:ascii="仿宋" w:hAnsi="仿宋" w:eastAsia="仿宋" w:cs="仿宋"/>
                <w:sz w:val="22"/>
              </w:rPr>
            </w:pPr>
            <w:r>
              <w:rPr>
                <w:rFonts w:hint="eastAsia" w:ascii="仿宋" w:hAnsi="仿宋" w:eastAsia="仿宋" w:cs="仿宋"/>
                <w:sz w:val="22"/>
              </w:rPr>
              <w:t>湖北航欧新材料科技有限公司</w:t>
            </w:r>
          </w:p>
        </w:tc>
        <w:tc>
          <w:tcPr>
            <w:tcW w:w="1469" w:type="pct"/>
            <w:noWrap/>
            <w:vAlign w:val="center"/>
          </w:tcPr>
          <w:p>
            <w:pPr>
              <w:jc w:val="center"/>
              <w:rPr>
                <w:rFonts w:ascii="仿宋" w:hAnsi="仿宋" w:eastAsia="仿宋" w:cs="仿宋"/>
                <w:sz w:val="22"/>
              </w:rPr>
            </w:pPr>
            <w:r>
              <w:rPr>
                <w:rFonts w:hint="eastAsia" w:ascii="仿宋" w:hAnsi="仿宋" w:eastAsia="仿宋" w:cs="仿宋"/>
                <w:sz w:val="22"/>
              </w:rPr>
              <w:t>一般环境事故（Ⅲ级）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913" w:type="pct"/>
            <w:noWrap/>
            <w:vAlign w:val="center"/>
          </w:tcPr>
          <w:p>
            <w:pPr>
              <w:jc w:val="center"/>
              <w:rPr>
                <w:rFonts w:ascii="仿宋" w:hAnsi="仿宋" w:eastAsia="仿宋" w:cs="仿宋"/>
                <w:sz w:val="22"/>
              </w:rPr>
            </w:pPr>
            <w:r>
              <w:rPr>
                <w:rFonts w:hint="eastAsia" w:ascii="仿宋" w:hAnsi="仿宋" w:eastAsia="仿宋" w:cs="仿宋"/>
                <w:sz w:val="22"/>
              </w:rPr>
              <w:t>蓝色响应级别</w:t>
            </w:r>
          </w:p>
        </w:tc>
        <w:tc>
          <w:tcPr>
            <w:tcW w:w="2616" w:type="pct"/>
            <w:noWrap/>
            <w:vAlign w:val="center"/>
          </w:tcPr>
          <w:p>
            <w:pPr>
              <w:jc w:val="center"/>
              <w:rPr>
                <w:rFonts w:ascii="仿宋" w:hAnsi="仿宋" w:eastAsia="仿宋" w:cs="仿宋"/>
                <w:sz w:val="22"/>
              </w:rPr>
            </w:pPr>
            <w:r>
              <w:rPr>
                <w:rFonts w:hint="eastAsia" w:ascii="仿宋" w:hAnsi="仿宋" w:eastAsia="仿宋" w:cs="仿宋"/>
                <w:sz w:val="22"/>
              </w:rPr>
              <w:t>湖北航欧新材料科技有限公司</w:t>
            </w:r>
          </w:p>
        </w:tc>
        <w:tc>
          <w:tcPr>
            <w:tcW w:w="1469" w:type="pct"/>
            <w:noWrap/>
            <w:vAlign w:val="center"/>
          </w:tcPr>
          <w:p>
            <w:pPr>
              <w:jc w:val="center"/>
              <w:rPr>
                <w:rFonts w:ascii="仿宋" w:hAnsi="仿宋" w:eastAsia="仿宋" w:cs="仿宋"/>
                <w:sz w:val="22"/>
              </w:rPr>
            </w:pPr>
            <w:r>
              <w:rPr>
                <w:rFonts w:hint="eastAsia" w:ascii="仿宋" w:hAnsi="仿宋" w:eastAsia="仿宋" w:cs="仿宋"/>
                <w:sz w:val="22"/>
              </w:rPr>
              <w:t>一般环境事故（Ⅲ级）</w:t>
            </w:r>
          </w:p>
        </w:tc>
      </w:tr>
    </w:tbl>
    <w:p>
      <w:pPr>
        <w:pStyle w:val="101"/>
        <w:rPr>
          <w:rFonts w:eastAsia="仿宋"/>
          <w:sz w:val="21"/>
        </w:rPr>
      </w:pPr>
      <w:r>
        <w:rPr>
          <w:rFonts w:hAnsi="仿宋" w:eastAsia="仿宋"/>
          <w:sz w:val="21"/>
        </w:rPr>
        <w:t>注：企业内部上报时间不得超过</w:t>
      </w:r>
      <w:r>
        <w:rPr>
          <w:rFonts w:eastAsia="仿宋"/>
          <w:sz w:val="21"/>
        </w:rPr>
        <w:t>1</w:t>
      </w:r>
      <w:r>
        <w:rPr>
          <w:rFonts w:hAnsi="仿宋" w:eastAsia="仿宋"/>
          <w:sz w:val="21"/>
        </w:rPr>
        <w:t>小时，各级之间上报时间不得超过</w:t>
      </w:r>
      <w:r>
        <w:rPr>
          <w:rFonts w:eastAsia="仿宋"/>
          <w:sz w:val="21"/>
        </w:rPr>
        <w:t>15</w:t>
      </w:r>
      <w:r>
        <w:rPr>
          <w:rFonts w:hAnsi="仿宋" w:eastAsia="仿宋"/>
          <w:sz w:val="21"/>
        </w:rPr>
        <w:t>分钟。</w:t>
      </w:r>
    </w:p>
    <w:p>
      <w:pPr>
        <w:pStyle w:val="8"/>
        <w:tabs>
          <w:tab w:val="clear" w:pos="425"/>
        </w:tabs>
        <w:spacing w:line="520" w:lineRule="exact"/>
        <w:ind w:left="0" w:firstLine="0"/>
        <w:rPr>
          <w:rFonts w:eastAsia="仿宋"/>
          <w:sz w:val="28"/>
          <w:szCs w:val="28"/>
        </w:rPr>
      </w:pPr>
      <w:r>
        <w:rPr>
          <w:rFonts w:hAnsi="仿宋" w:eastAsia="仿宋"/>
          <w:sz w:val="28"/>
          <w:szCs w:val="28"/>
        </w:rPr>
        <w:t>启动预案</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1</w:t>
      </w:r>
      <w:r>
        <w:rPr>
          <w:rFonts w:hAnsi="仿宋" w:eastAsia="仿宋"/>
          <w:b w:val="0"/>
          <w:bCs w:val="0"/>
          <w:sz w:val="28"/>
          <w:szCs w:val="28"/>
        </w:rPr>
        <w:t>）应急指挥组接到报警后迅速向指挥组领导报告情况；</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2</w:t>
      </w:r>
      <w:r>
        <w:rPr>
          <w:rFonts w:hAnsi="仿宋" w:eastAsia="仿宋"/>
          <w:b w:val="0"/>
          <w:bCs w:val="0"/>
          <w:sz w:val="28"/>
          <w:szCs w:val="28"/>
        </w:rPr>
        <w:t>）如遇夜间发生事故时，应急指挥组应立即通知公司夜间值班领导担负起临时指挥任务；</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3</w:t>
      </w:r>
      <w:r>
        <w:rPr>
          <w:rFonts w:hAnsi="仿宋" w:eastAsia="仿宋"/>
          <w:b w:val="0"/>
          <w:bCs w:val="0"/>
          <w:sz w:val="28"/>
          <w:szCs w:val="28"/>
        </w:rPr>
        <w:t>）启动《重大环境污染事故应急预案与救援措施管理办法》时，若涉及到危险化学品引发的突发环境事件，则根据公司要求，启动本应急预案；</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4</w:t>
      </w:r>
      <w:r>
        <w:rPr>
          <w:rFonts w:hAnsi="仿宋" w:eastAsia="仿宋"/>
          <w:b w:val="0"/>
          <w:bCs w:val="0"/>
          <w:sz w:val="28"/>
          <w:szCs w:val="28"/>
        </w:rPr>
        <w:t>）应急指挥组在上风安全区域成立事故现场应急救援指挥组，及时形成通讯网络，保障调度指挥，通知指挥组成员赶赴事故现场；</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5</w:t>
      </w:r>
      <w:r>
        <w:rPr>
          <w:rFonts w:hAnsi="仿宋" w:eastAsia="仿宋"/>
          <w:b w:val="0"/>
          <w:bCs w:val="0"/>
          <w:sz w:val="28"/>
          <w:szCs w:val="28"/>
        </w:rPr>
        <w:t>）应急指挥组根据造成突发环境事件的原因和事故情况启动公司应急预案，同时根据本预案分级响应条件下达启动《</w:t>
      </w:r>
      <w:r>
        <w:rPr>
          <w:rFonts w:hint="eastAsia" w:hAnsi="仿宋" w:eastAsia="仿宋"/>
          <w:b w:val="0"/>
          <w:bCs w:val="0"/>
          <w:sz w:val="28"/>
          <w:szCs w:val="28"/>
          <w:lang w:eastAsia="zh-CN"/>
        </w:rPr>
        <w:t>湖北航欧新材料科技有限公司</w:t>
      </w:r>
      <w:r>
        <w:rPr>
          <w:rFonts w:hAnsi="仿宋" w:eastAsia="仿宋"/>
          <w:b w:val="0"/>
          <w:bCs w:val="0"/>
          <w:sz w:val="28"/>
          <w:szCs w:val="28"/>
        </w:rPr>
        <w:t>突发环境事件应急预案》的指令；</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6</w:t>
      </w:r>
      <w:r>
        <w:rPr>
          <w:rFonts w:hAnsi="仿宋" w:eastAsia="仿宋"/>
          <w:b w:val="0"/>
          <w:bCs w:val="0"/>
          <w:sz w:val="28"/>
          <w:szCs w:val="28"/>
        </w:rPr>
        <w:t>）</w:t>
      </w:r>
      <w:r>
        <w:rPr>
          <w:rFonts w:hint="eastAsia"/>
          <w:b w:val="0"/>
          <w:bCs w:val="0"/>
          <w:sz w:val="28"/>
          <w:szCs w:val="28"/>
          <w:lang w:val="zh-CN"/>
        </w:rPr>
        <w:t>应急物资保障和运输队</w:t>
      </w:r>
      <w:r>
        <w:rPr>
          <w:rFonts w:hAnsi="仿宋" w:eastAsia="仿宋"/>
          <w:b w:val="0"/>
          <w:bCs w:val="0"/>
          <w:sz w:val="28"/>
          <w:szCs w:val="28"/>
        </w:rPr>
        <w:t>开通事故广播、对讲机、内部电话、手机、公司警报等通讯网络，做好信息传递和沟通；</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7</w:t>
      </w:r>
      <w:r>
        <w:rPr>
          <w:rFonts w:hAnsi="仿宋" w:eastAsia="仿宋"/>
          <w:b w:val="0"/>
          <w:bCs w:val="0"/>
          <w:sz w:val="28"/>
          <w:szCs w:val="28"/>
        </w:rPr>
        <w:t>）应急指挥组通知、调配各应急救援队伍；</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8</w:t>
      </w:r>
      <w:r>
        <w:rPr>
          <w:rFonts w:hAnsi="仿宋" w:eastAsia="仿宋"/>
          <w:b w:val="0"/>
          <w:bCs w:val="0"/>
          <w:sz w:val="28"/>
          <w:szCs w:val="28"/>
        </w:rPr>
        <w:t>）物资供应</w:t>
      </w:r>
      <w:r>
        <w:rPr>
          <w:rFonts w:hint="eastAsia" w:hAnsi="仿宋" w:eastAsia="仿宋"/>
          <w:b w:val="0"/>
          <w:bCs w:val="0"/>
          <w:sz w:val="28"/>
          <w:szCs w:val="28"/>
        </w:rPr>
        <w:t>队</w:t>
      </w:r>
      <w:r>
        <w:rPr>
          <w:rFonts w:hAnsi="仿宋" w:eastAsia="仿宋"/>
          <w:b w:val="0"/>
          <w:bCs w:val="0"/>
          <w:sz w:val="28"/>
          <w:szCs w:val="28"/>
        </w:rPr>
        <w:t>等调配应急资源包括物资装置的。</w:t>
      </w:r>
    </w:p>
    <w:p>
      <w:pPr>
        <w:pStyle w:val="6"/>
        <w:spacing w:before="0" w:beforeAutospacing="0" w:line="520" w:lineRule="exact"/>
        <w:ind w:left="0" w:firstLine="0"/>
        <w:rPr>
          <w:rFonts w:eastAsia="仿宋"/>
        </w:rPr>
      </w:pPr>
      <w:bookmarkStart w:id="96" w:name="_Toc32393"/>
      <w:r>
        <w:rPr>
          <w:rFonts w:hint="eastAsia" w:hAnsi="仿宋" w:eastAsia="仿宋"/>
        </w:rPr>
        <w:t>配合有关部门应急响应</w:t>
      </w:r>
      <w:bookmarkEnd w:id="96"/>
    </w:p>
    <w:p>
      <w:pPr>
        <w:pStyle w:val="95"/>
        <w:spacing w:line="520" w:lineRule="exact"/>
        <w:ind w:firstLine="562"/>
        <w:rPr>
          <w:rFonts w:eastAsia="仿宋"/>
          <w:b w:val="0"/>
          <w:bCs w:val="0"/>
          <w:sz w:val="28"/>
          <w:szCs w:val="28"/>
        </w:rPr>
      </w:pPr>
      <w:r>
        <w:rPr>
          <w:rFonts w:hAnsi="仿宋" w:eastAsia="仿宋"/>
          <w:b w:val="0"/>
          <w:bCs w:val="0"/>
          <w:sz w:val="28"/>
          <w:szCs w:val="28"/>
        </w:rPr>
        <w:t>当发生化学品发生泄漏或由此导致的中毒、爆炸，需要</w:t>
      </w:r>
      <w:r>
        <w:rPr>
          <w:rFonts w:hint="eastAsia" w:hAnsi="仿宋" w:eastAsia="仿宋"/>
          <w:b w:val="0"/>
          <w:bCs w:val="0"/>
          <w:sz w:val="28"/>
          <w:szCs w:val="28"/>
          <w:lang w:eastAsia="zh-CN"/>
        </w:rPr>
        <w:t>远安县</w:t>
      </w:r>
      <w:r>
        <w:rPr>
          <w:rFonts w:hAnsi="仿宋" w:eastAsia="仿宋"/>
          <w:b w:val="0"/>
          <w:bCs w:val="0"/>
          <w:sz w:val="28"/>
          <w:szCs w:val="28"/>
        </w:rPr>
        <w:t>人民政府及宜昌市生态环境局</w:t>
      </w:r>
      <w:r>
        <w:rPr>
          <w:rFonts w:hint="eastAsia" w:hAnsi="仿宋" w:eastAsia="仿宋"/>
          <w:b w:val="0"/>
          <w:bCs w:val="0"/>
          <w:sz w:val="28"/>
          <w:szCs w:val="28"/>
          <w:lang w:eastAsia="zh-CN"/>
        </w:rPr>
        <w:t>远安县</w:t>
      </w:r>
      <w:r>
        <w:rPr>
          <w:rFonts w:hAnsi="仿宋" w:eastAsia="仿宋"/>
          <w:b w:val="0"/>
          <w:bCs w:val="0"/>
          <w:sz w:val="28"/>
          <w:szCs w:val="28"/>
        </w:rPr>
        <w:t>分局等相关部门介入突发环境事件应急处置时，企业应当在事件发生的第一时间内向外部有关单位汇报事件情况，请求支援，同时应采取各项措施确保在事件发生</w:t>
      </w:r>
      <w:r>
        <w:rPr>
          <w:rFonts w:eastAsia="仿宋"/>
          <w:b w:val="0"/>
          <w:bCs w:val="0"/>
          <w:sz w:val="28"/>
          <w:szCs w:val="28"/>
        </w:rPr>
        <w:t>2</w:t>
      </w:r>
      <w:r>
        <w:rPr>
          <w:rFonts w:hAnsi="仿宋" w:eastAsia="仿宋"/>
          <w:b w:val="0"/>
          <w:bCs w:val="0"/>
          <w:sz w:val="28"/>
          <w:szCs w:val="28"/>
        </w:rPr>
        <w:t>小时内有效控制污染物进入外环境。</w:t>
      </w:r>
    </w:p>
    <w:p>
      <w:pPr>
        <w:pStyle w:val="95"/>
        <w:spacing w:line="520" w:lineRule="exact"/>
        <w:ind w:firstLine="562"/>
        <w:rPr>
          <w:rFonts w:eastAsia="仿宋"/>
          <w:b w:val="0"/>
          <w:bCs w:val="0"/>
          <w:sz w:val="28"/>
          <w:szCs w:val="28"/>
        </w:rPr>
      </w:pPr>
      <w:r>
        <w:rPr>
          <w:rFonts w:hAnsi="仿宋" w:eastAsia="仿宋"/>
          <w:b w:val="0"/>
          <w:bCs w:val="0"/>
          <w:sz w:val="28"/>
          <w:szCs w:val="28"/>
        </w:rPr>
        <w:t>当外部政府或有关部门到达现场后，企业应急指挥组应开展如下工作：</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1</w:t>
      </w:r>
      <w:r>
        <w:rPr>
          <w:rFonts w:hAnsi="仿宋" w:eastAsia="仿宋"/>
          <w:b w:val="0"/>
          <w:bCs w:val="0"/>
          <w:sz w:val="28"/>
          <w:szCs w:val="28"/>
        </w:rPr>
        <w:t>）将权力转交给政府部门组织的应急指挥组，企业配合协调各项指令的发布与实施；</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2</w:t>
      </w:r>
      <w:r>
        <w:rPr>
          <w:rFonts w:hAnsi="仿宋" w:eastAsia="仿宋"/>
          <w:b w:val="0"/>
          <w:bCs w:val="0"/>
          <w:sz w:val="28"/>
          <w:szCs w:val="28"/>
        </w:rPr>
        <w:t>）向政府或有关部门提供企业现有的处置与防护技术；</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3</w:t>
      </w:r>
      <w:r>
        <w:rPr>
          <w:rFonts w:hAnsi="仿宋" w:eastAsia="仿宋"/>
          <w:b w:val="0"/>
          <w:bCs w:val="0"/>
          <w:sz w:val="28"/>
          <w:szCs w:val="28"/>
        </w:rPr>
        <w:t>）配合政府部门开展应急监测，提供企业现有的相关监测设备及药剂；</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4</w:t>
      </w:r>
      <w:r>
        <w:rPr>
          <w:rFonts w:hAnsi="仿宋" w:eastAsia="仿宋"/>
          <w:b w:val="0"/>
          <w:bCs w:val="0"/>
          <w:sz w:val="28"/>
          <w:szCs w:val="28"/>
        </w:rPr>
        <w:t>）提供企业储备的应急物资清单，用以现场的应对处置；</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5</w:t>
      </w:r>
      <w:r>
        <w:rPr>
          <w:rFonts w:hAnsi="仿宋" w:eastAsia="仿宋"/>
          <w:b w:val="0"/>
          <w:bCs w:val="0"/>
          <w:sz w:val="28"/>
          <w:szCs w:val="28"/>
        </w:rPr>
        <w:t>）配合政府开展事件原因调查，并接受政府的相关处罚。</w:t>
      </w:r>
    </w:p>
    <w:p>
      <w:pPr>
        <w:pStyle w:val="6"/>
        <w:spacing w:before="0" w:beforeAutospacing="0" w:line="520" w:lineRule="exact"/>
        <w:ind w:left="0" w:firstLine="0"/>
        <w:rPr>
          <w:rFonts w:eastAsia="仿宋"/>
        </w:rPr>
      </w:pPr>
      <w:bookmarkStart w:id="97" w:name="_Toc46843279"/>
      <w:bookmarkStart w:id="98" w:name="_Toc27389"/>
      <w:bookmarkStart w:id="99" w:name="_Toc472856710"/>
      <w:r>
        <w:rPr>
          <w:rFonts w:hAnsi="仿宋" w:eastAsia="仿宋"/>
        </w:rPr>
        <w:t>现场处置</w:t>
      </w:r>
      <w:bookmarkEnd w:id="97"/>
      <w:bookmarkEnd w:id="98"/>
      <w:bookmarkEnd w:id="99"/>
    </w:p>
    <w:p>
      <w:pPr>
        <w:pStyle w:val="8"/>
        <w:tabs>
          <w:tab w:val="clear" w:pos="425"/>
        </w:tabs>
        <w:spacing w:line="520" w:lineRule="exact"/>
        <w:ind w:left="0" w:firstLine="0"/>
        <w:rPr>
          <w:rFonts w:eastAsia="仿宋"/>
          <w:sz w:val="28"/>
          <w:szCs w:val="28"/>
        </w:rPr>
      </w:pPr>
      <w:r>
        <w:rPr>
          <w:rFonts w:hAnsi="仿宋" w:eastAsia="仿宋"/>
          <w:sz w:val="28"/>
          <w:szCs w:val="28"/>
        </w:rPr>
        <w:t>现场处置原则</w:t>
      </w:r>
    </w:p>
    <w:p>
      <w:pPr>
        <w:pStyle w:val="95"/>
        <w:spacing w:line="520" w:lineRule="exact"/>
        <w:ind w:firstLine="562"/>
        <w:rPr>
          <w:rFonts w:eastAsia="仿宋"/>
          <w:b w:val="0"/>
          <w:bCs w:val="0"/>
          <w:sz w:val="28"/>
          <w:szCs w:val="28"/>
        </w:rPr>
      </w:pPr>
      <w:r>
        <w:rPr>
          <w:rFonts w:hAnsi="仿宋" w:eastAsia="仿宋"/>
          <w:b w:val="0"/>
          <w:bCs w:val="0"/>
          <w:sz w:val="28"/>
          <w:szCs w:val="28"/>
        </w:rPr>
        <w:t>在现场处置过程中，应本着人身健康</w:t>
      </w:r>
      <w:r>
        <w:rPr>
          <w:rFonts w:eastAsia="仿宋"/>
          <w:b w:val="0"/>
          <w:bCs w:val="0"/>
          <w:sz w:val="28"/>
          <w:szCs w:val="28"/>
        </w:rPr>
        <w:t>——</w:t>
      </w:r>
      <w:r>
        <w:rPr>
          <w:rFonts w:hAnsi="仿宋" w:eastAsia="仿宋"/>
          <w:b w:val="0"/>
          <w:bCs w:val="0"/>
          <w:sz w:val="28"/>
          <w:szCs w:val="28"/>
        </w:rPr>
        <w:t>环境安全</w:t>
      </w:r>
      <w:r>
        <w:rPr>
          <w:rFonts w:eastAsia="仿宋"/>
          <w:b w:val="0"/>
          <w:bCs w:val="0"/>
          <w:sz w:val="28"/>
          <w:szCs w:val="28"/>
        </w:rPr>
        <w:t>——</w:t>
      </w:r>
      <w:r>
        <w:rPr>
          <w:rFonts w:hAnsi="仿宋" w:eastAsia="仿宋"/>
          <w:b w:val="0"/>
          <w:bCs w:val="0"/>
          <w:sz w:val="28"/>
          <w:szCs w:val="28"/>
        </w:rPr>
        <w:t>财务保全的救援顺序。遵循以人为本，保证生命安全，从源头上控制污染，避免或减少污染扩大。</w:t>
      </w:r>
    </w:p>
    <w:p>
      <w:pPr>
        <w:pStyle w:val="95"/>
        <w:spacing w:line="520" w:lineRule="exact"/>
        <w:ind w:firstLine="562"/>
        <w:rPr>
          <w:rFonts w:hAnsi="仿宋" w:eastAsia="仿宋"/>
          <w:b w:val="0"/>
          <w:bCs w:val="0"/>
          <w:sz w:val="28"/>
          <w:szCs w:val="28"/>
        </w:rPr>
      </w:pPr>
      <w:r>
        <w:rPr>
          <w:rFonts w:hAnsi="仿宋" w:eastAsia="仿宋"/>
          <w:b w:val="0"/>
          <w:bCs w:val="0"/>
          <w:sz w:val="28"/>
          <w:szCs w:val="28"/>
        </w:rPr>
        <w:t>在处置过程中，首先切断污染源，其次阻断污染物向环境介质的迁移，随后，开展监测确定事故影响范围，采取科学方法处置，消除和减少环境污染影响。</w:t>
      </w:r>
    </w:p>
    <w:p>
      <w:pPr>
        <w:pStyle w:val="95"/>
        <w:spacing w:line="520" w:lineRule="exact"/>
        <w:ind w:firstLine="562"/>
        <w:rPr>
          <w:rFonts w:eastAsia="仿宋"/>
          <w:b w:val="0"/>
          <w:bCs w:val="0"/>
        </w:rPr>
      </w:pPr>
      <w:r>
        <w:rPr>
          <w:rFonts w:hAnsi="仿宋" w:eastAsia="仿宋"/>
          <w:b w:val="0"/>
          <w:bCs w:val="0"/>
          <w:sz w:val="28"/>
          <w:szCs w:val="28"/>
        </w:rPr>
        <w:t>对水体可能产生污染的环境事故处置原则</w:t>
      </w:r>
      <w:r>
        <w:rPr>
          <w:rFonts w:hint="eastAsia" w:hAnsi="仿宋" w:eastAsia="仿宋"/>
          <w:b w:val="0"/>
          <w:bCs w:val="0"/>
          <w:sz w:val="28"/>
          <w:szCs w:val="28"/>
        </w:rPr>
        <w:t>如下：</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1</w:t>
      </w:r>
      <w:r>
        <w:rPr>
          <w:rFonts w:hAnsi="仿宋" w:eastAsia="仿宋"/>
          <w:b w:val="0"/>
          <w:bCs w:val="0"/>
          <w:sz w:val="28"/>
          <w:szCs w:val="28"/>
        </w:rPr>
        <w:t>）迅速启动倒罐设施进行物料转移，切断事故受损设施内的物料来源</w:t>
      </w:r>
      <w:r>
        <w:rPr>
          <w:rFonts w:hint="eastAsia" w:hAnsi="仿宋" w:eastAsia="仿宋"/>
          <w:b w:val="0"/>
          <w:bCs w:val="0"/>
          <w:sz w:val="28"/>
          <w:szCs w:val="28"/>
        </w:rPr>
        <w:t>、</w:t>
      </w:r>
      <w:r>
        <w:rPr>
          <w:rFonts w:hAnsi="仿宋" w:eastAsia="仿宋"/>
          <w:b w:val="0"/>
          <w:bCs w:val="0"/>
          <w:sz w:val="28"/>
          <w:szCs w:val="28"/>
        </w:rPr>
        <w:t>减少污染物质的跑损量，对受损设施及相关的设施内的物料进行安全转移；</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2</w:t>
      </w:r>
      <w:r>
        <w:rPr>
          <w:rFonts w:hAnsi="仿宋" w:eastAsia="仿宋"/>
          <w:b w:val="0"/>
          <w:bCs w:val="0"/>
          <w:sz w:val="28"/>
          <w:szCs w:val="28"/>
        </w:rPr>
        <w:t>）将污染物质尽可能封堵在厂区，引入事故应急池；再次，对排入</w:t>
      </w:r>
      <w:r>
        <w:rPr>
          <w:rFonts w:hint="eastAsia" w:hAnsi="仿宋" w:eastAsia="仿宋"/>
          <w:b w:val="0"/>
          <w:bCs w:val="0"/>
          <w:sz w:val="28"/>
          <w:szCs w:val="28"/>
          <w:lang w:eastAsia="zh-CN"/>
        </w:rPr>
        <w:t>远安工业</w:t>
      </w:r>
      <w:r>
        <w:rPr>
          <w:rFonts w:hAnsi="仿宋" w:eastAsia="仿宋"/>
          <w:b w:val="0"/>
          <w:bCs w:val="0"/>
          <w:sz w:val="28"/>
          <w:szCs w:val="28"/>
        </w:rPr>
        <w:t>污水处理厂的总排口进行隔断，采取封堵、分流、回收、贮存、处理等可能的一切措施，合理调度物料流向，使其受控转入环保处理、储存设施中</w:t>
      </w:r>
      <w:r>
        <w:rPr>
          <w:rFonts w:hint="eastAsia" w:hAnsi="仿宋" w:eastAsia="仿宋"/>
          <w:b w:val="0"/>
          <w:bCs w:val="0"/>
          <w:sz w:val="28"/>
          <w:szCs w:val="28"/>
        </w:rPr>
        <w:t>。</w:t>
      </w:r>
    </w:p>
    <w:bookmarkEnd w:id="95"/>
    <w:p>
      <w:pPr>
        <w:pStyle w:val="8"/>
        <w:tabs>
          <w:tab w:val="clear" w:pos="425"/>
        </w:tabs>
        <w:spacing w:line="520" w:lineRule="exact"/>
        <w:ind w:left="0" w:firstLine="0"/>
        <w:rPr>
          <w:rFonts w:eastAsia="仿宋"/>
          <w:sz w:val="28"/>
          <w:szCs w:val="28"/>
        </w:rPr>
      </w:pPr>
      <w:r>
        <w:rPr>
          <w:rFonts w:hAnsi="仿宋" w:eastAsia="仿宋"/>
          <w:sz w:val="28"/>
          <w:szCs w:val="28"/>
        </w:rPr>
        <w:t>污染源事故的应急救援措施</w:t>
      </w:r>
    </w:p>
    <w:p>
      <w:pPr>
        <w:pStyle w:val="9"/>
        <w:spacing w:before="0" w:after="0" w:line="520" w:lineRule="exact"/>
        <w:ind w:left="0" w:firstLine="0"/>
        <w:rPr>
          <w:rFonts w:eastAsia="仿宋"/>
        </w:rPr>
      </w:pPr>
      <w:r>
        <w:rPr>
          <w:rFonts w:hAnsi="仿宋" w:eastAsia="仿宋"/>
        </w:rPr>
        <w:t>对</w:t>
      </w:r>
      <w:bookmarkStart w:id="100" w:name="_Hlk73920241"/>
      <w:r>
        <w:rPr>
          <w:rFonts w:hAnsi="仿宋" w:eastAsia="仿宋"/>
        </w:rPr>
        <w:t>火灾等事故应急处置措施</w:t>
      </w:r>
    </w:p>
    <w:p>
      <w:pPr>
        <w:pStyle w:val="95"/>
        <w:spacing w:line="520" w:lineRule="exact"/>
        <w:ind w:firstLine="562"/>
        <w:jc w:val="both"/>
        <w:rPr>
          <w:rFonts w:eastAsia="仿宋"/>
          <w:b w:val="0"/>
          <w:bCs w:val="0"/>
          <w:sz w:val="28"/>
          <w:szCs w:val="28"/>
        </w:rPr>
      </w:pPr>
      <w:r>
        <w:rPr>
          <w:rFonts w:hAnsi="仿宋" w:eastAsia="仿宋"/>
          <w:b w:val="0"/>
          <w:bCs w:val="0"/>
          <w:sz w:val="28"/>
          <w:szCs w:val="28"/>
        </w:rPr>
        <w:t>动用明火、电器老化、易燃危化品高温下暴晒，均可导致火灾事故发生。平时必须加强管理，消除各种隐患，同时也应建立一套事故发生应急救援行动计划，配备精良的灭火器材，最大限度地保护周围人员和环境：</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1</w:t>
      </w:r>
      <w:r>
        <w:rPr>
          <w:rFonts w:hAnsi="仿宋" w:eastAsia="仿宋"/>
          <w:b w:val="0"/>
          <w:bCs w:val="0"/>
          <w:sz w:val="28"/>
          <w:szCs w:val="28"/>
        </w:rPr>
        <w:t>）事故发生后，立即采取措施，采用二氧化碳灭火剂或消防沙灭火。同时在可能发生火灾的区域设置阻火设施，减少连环爆炸发生。并切断泄漏源，防止进入下水道等限制性空间。同时由医院后勤保障组进行监测，并配合环保部门进行应急监测。</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2</w:t>
      </w:r>
      <w:r>
        <w:rPr>
          <w:rFonts w:hAnsi="仿宋" w:eastAsia="仿宋"/>
          <w:b w:val="0"/>
          <w:bCs w:val="0"/>
          <w:sz w:val="28"/>
          <w:szCs w:val="28"/>
        </w:rPr>
        <w:t>）通知消防单位，立即切断火源，最大程度上避免火势蔓延到其他装置，避免发生连环爆炸，减少对环境的冲击。</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3</w:t>
      </w:r>
      <w:r>
        <w:rPr>
          <w:rFonts w:hAnsi="仿宋" w:eastAsia="仿宋"/>
          <w:b w:val="0"/>
          <w:bCs w:val="0"/>
          <w:sz w:val="28"/>
          <w:szCs w:val="28"/>
        </w:rPr>
        <w:t>）应急处理人员佩戴自给式呼吸器，穿消防防护服。</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4</w:t>
      </w:r>
      <w:r>
        <w:rPr>
          <w:rFonts w:hAnsi="仿宋" w:eastAsia="仿宋"/>
          <w:b w:val="0"/>
          <w:bCs w:val="0"/>
          <w:sz w:val="28"/>
          <w:szCs w:val="28"/>
        </w:rPr>
        <w:t>）对皮肤接触人员应脱去被污染的衣物，用肥皂水或清水彻底冲洗皮肤；眼睛接触人员应提起眼脸，用流动清水或生理盐水冲洗就医；吸入人员迅速脱离现场至空气新鲜处，保持呼吸道通畅。</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5</w:t>
      </w:r>
      <w:r>
        <w:rPr>
          <w:rFonts w:hAnsi="仿宋" w:eastAsia="仿宋"/>
          <w:b w:val="0"/>
          <w:bCs w:val="0"/>
          <w:sz w:val="28"/>
          <w:szCs w:val="28"/>
        </w:rPr>
        <w:t>）事故发生后应立即通知宜昌市生态环境局</w:t>
      </w:r>
      <w:r>
        <w:rPr>
          <w:rFonts w:hint="eastAsia" w:hAnsi="仿宋" w:eastAsia="仿宋"/>
          <w:b w:val="0"/>
          <w:bCs w:val="0"/>
          <w:sz w:val="28"/>
          <w:szCs w:val="28"/>
          <w:lang w:eastAsia="zh-CN"/>
        </w:rPr>
        <w:t>远安县</w:t>
      </w:r>
      <w:r>
        <w:rPr>
          <w:rFonts w:hAnsi="仿宋" w:eastAsia="仿宋"/>
          <w:b w:val="0"/>
          <w:bCs w:val="0"/>
          <w:sz w:val="28"/>
          <w:szCs w:val="28"/>
        </w:rPr>
        <w:t>分局、自来水公司、消防队等市政部门，协同事故救援与监控，最大限度地减轻事故对环境的危害。</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6</w:t>
      </w:r>
      <w:r>
        <w:rPr>
          <w:rFonts w:hAnsi="仿宋" w:eastAsia="仿宋"/>
          <w:b w:val="0"/>
          <w:bCs w:val="0"/>
          <w:sz w:val="28"/>
          <w:szCs w:val="28"/>
        </w:rPr>
        <w:t>）建立专门的风险管理机构，负责制定、落实安全生产规章制度，并负责自然灾害预防、意外事故应急及员工风险教育。</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7</w:t>
      </w:r>
      <w:r>
        <w:rPr>
          <w:rFonts w:hAnsi="仿宋" w:eastAsia="仿宋"/>
          <w:b w:val="0"/>
          <w:bCs w:val="0"/>
          <w:sz w:val="28"/>
          <w:szCs w:val="28"/>
        </w:rPr>
        <w:t>）建立风险防范制度。包括风险预防制度（生产安全制度、财务安全制度）、风险控制制度（各种灾害事故应急预案）、风险转移制度（规定某些事项必须办理风险转移，包括保险转移和非保险转移）等。</w:t>
      </w:r>
      <w:bookmarkEnd w:id="100"/>
    </w:p>
    <w:p>
      <w:pPr>
        <w:pStyle w:val="9"/>
        <w:spacing w:before="0" w:after="0" w:line="520" w:lineRule="exact"/>
        <w:ind w:left="0" w:firstLine="0"/>
        <w:rPr>
          <w:rFonts w:eastAsia="仿宋"/>
        </w:rPr>
      </w:pPr>
      <w:r>
        <w:rPr>
          <w:rFonts w:hAnsi="仿宋" w:eastAsia="仿宋"/>
        </w:rPr>
        <w:t>管线泄漏事故应急措施</w:t>
      </w:r>
    </w:p>
    <w:p>
      <w:pPr>
        <w:pStyle w:val="95"/>
        <w:spacing w:line="520" w:lineRule="exact"/>
        <w:ind w:firstLine="562"/>
        <w:jc w:val="both"/>
        <w:rPr>
          <w:rFonts w:eastAsia="仿宋"/>
          <w:b w:val="0"/>
          <w:bCs w:val="0"/>
          <w:sz w:val="28"/>
          <w:szCs w:val="28"/>
        </w:rPr>
      </w:pPr>
      <w:r>
        <w:rPr>
          <w:rFonts w:hAnsi="仿宋" w:eastAsia="仿宋"/>
          <w:b w:val="0"/>
          <w:bCs w:val="0"/>
          <w:sz w:val="28"/>
          <w:szCs w:val="28"/>
        </w:rPr>
        <w:t>贮存设备及输送管线腐蚀、变形或维护不当，均可能导致泄漏。发现跑冒滴漏等现象，应即时通知停泵，并即时采取消除的措施，严格防止污染事故扩大。</w:t>
      </w:r>
    </w:p>
    <w:p>
      <w:pPr>
        <w:pStyle w:val="95"/>
        <w:spacing w:line="520" w:lineRule="exact"/>
        <w:ind w:firstLine="562"/>
        <w:jc w:val="both"/>
        <w:rPr>
          <w:rFonts w:eastAsia="仿宋"/>
          <w:b w:val="0"/>
          <w:bCs w:val="0"/>
          <w:sz w:val="28"/>
          <w:szCs w:val="28"/>
        </w:rPr>
      </w:pPr>
      <w:r>
        <w:rPr>
          <w:rFonts w:hAnsi="仿宋" w:eastAsia="仿宋"/>
          <w:b w:val="0"/>
          <w:bCs w:val="0"/>
          <w:sz w:val="28"/>
          <w:szCs w:val="28"/>
        </w:rPr>
        <w:t>因设备微量泄漏产生的一般事故，由岗位操作人员巡检等方式及早发现，采取相应的措施，予以处理。当发生重大事故时，一时不能有效地进行堵漏时，应立即向应急处理指挥部报告事故情况，指挥部分析判断事故，启动应急处理预案。</w:t>
      </w:r>
    </w:p>
    <w:p>
      <w:pPr>
        <w:pStyle w:val="95"/>
        <w:spacing w:line="520" w:lineRule="exact"/>
        <w:ind w:firstLine="562"/>
        <w:jc w:val="both"/>
        <w:rPr>
          <w:rFonts w:eastAsia="仿宋"/>
          <w:b w:val="0"/>
          <w:bCs w:val="0"/>
          <w:sz w:val="28"/>
          <w:szCs w:val="28"/>
        </w:rPr>
      </w:pPr>
      <w:r>
        <w:rPr>
          <w:rFonts w:hAnsi="仿宋" w:eastAsia="仿宋"/>
          <w:b w:val="0"/>
          <w:bCs w:val="0"/>
          <w:sz w:val="28"/>
          <w:szCs w:val="28"/>
        </w:rPr>
        <w:t>事故处理结束后，</w:t>
      </w:r>
      <w:r>
        <w:rPr>
          <w:rFonts w:hint="eastAsia" w:hAnsi="仿宋" w:eastAsia="仿宋"/>
          <w:b w:val="0"/>
          <w:bCs w:val="0"/>
          <w:sz w:val="28"/>
          <w:szCs w:val="28"/>
        </w:rPr>
        <w:t>收集的泄漏和堵漏物均委托具有相应处理资质单位处理</w:t>
      </w:r>
      <w:r>
        <w:rPr>
          <w:rFonts w:hAnsi="仿宋" w:eastAsia="仿宋"/>
          <w:b w:val="0"/>
          <w:bCs w:val="0"/>
          <w:sz w:val="28"/>
          <w:szCs w:val="28"/>
        </w:rPr>
        <w:t>，事故所在责任厂区安全科负责疏散事故点位附近无关人员、车辆。</w:t>
      </w:r>
    </w:p>
    <w:p>
      <w:pPr>
        <w:pStyle w:val="9"/>
        <w:spacing w:before="0" w:after="0" w:line="520" w:lineRule="exact"/>
        <w:ind w:left="0" w:firstLine="0"/>
        <w:rPr>
          <w:rFonts w:eastAsia="仿宋"/>
        </w:rPr>
      </w:pPr>
      <w:bookmarkStart w:id="101" w:name="_Hlk73920332"/>
      <w:r>
        <w:rPr>
          <w:rFonts w:hint="eastAsia" w:hAnsi="仿宋" w:eastAsia="仿宋"/>
        </w:rPr>
        <w:t>危险废物</w:t>
      </w:r>
      <w:r>
        <w:rPr>
          <w:rFonts w:hAnsi="仿宋" w:eastAsia="仿宋"/>
        </w:rPr>
        <w:t>泄漏事故应急处置措施</w:t>
      </w:r>
    </w:p>
    <w:p>
      <w:pPr>
        <w:pStyle w:val="95"/>
        <w:spacing w:line="520" w:lineRule="exact"/>
        <w:ind w:firstLine="562"/>
        <w:rPr>
          <w:rFonts w:eastAsia="仿宋"/>
          <w:b w:val="0"/>
          <w:bCs w:val="0"/>
          <w:sz w:val="28"/>
          <w:szCs w:val="28"/>
        </w:rPr>
      </w:pPr>
      <w:r>
        <w:rPr>
          <w:rFonts w:hAnsi="仿宋" w:eastAsia="仿宋"/>
          <w:b w:val="0"/>
          <w:bCs w:val="0"/>
          <w:sz w:val="28"/>
          <w:szCs w:val="28"/>
        </w:rPr>
        <w:t>储罐、车间等发生泄漏事故后，立即检查</w:t>
      </w:r>
      <w:r>
        <w:rPr>
          <w:rFonts w:hint="eastAsia" w:hAnsi="仿宋" w:eastAsia="仿宋"/>
          <w:b w:val="0"/>
          <w:bCs w:val="0"/>
          <w:sz w:val="28"/>
          <w:szCs w:val="28"/>
        </w:rPr>
        <w:t>储罐区至应急池</w:t>
      </w:r>
      <w:r>
        <w:rPr>
          <w:rFonts w:hAnsi="仿宋" w:eastAsia="仿宋"/>
          <w:b w:val="0"/>
          <w:bCs w:val="0"/>
          <w:sz w:val="28"/>
          <w:szCs w:val="28"/>
        </w:rPr>
        <w:t>总排口截流阀，确保其处于切断状态，从而防止泄漏物料流出厂外。</w:t>
      </w:r>
    </w:p>
    <w:p>
      <w:pPr>
        <w:pStyle w:val="95"/>
        <w:spacing w:line="520" w:lineRule="exact"/>
        <w:ind w:firstLine="562"/>
        <w:rPr>
          <w:rFonts w:eastAsia="仿宋"/>
          <w:b w:val="0"/>
          <w:bCs w:val="0"/>
          <w:sz w:val="28"/>
          <w:szCs w:val="28"/>
        </w:rPr>
      </w:pPr>
      <w:r>
        <w:rPr>
          <w:rFonts w:hAnsi="仿宋" w:eastAsia="仿宋"/>
          <w:b w:val="0"/>
          <w:bCs w:val="0"/>
          <w:sz w:val="28"/>
          <w:szCs w:val="28"/>
        </w:rPr>
        <w:t>如为小量泄漏，最早发现者应立即使用黄砂覆盖并用堵漏材料进行堵漏，并将装置内剩余物料迅速转移至其他装置内，事故处理结束后将沙土运至有资质单位处理；</w:t>
      </w:r>
    </w:p>
    <w:p>
      <w:pPr>
        <w:pStyle w:val="95"/>
        <w:spacing w:line="520" w:lineRule="exact"/>
        <w:ind w:firstLine="562"/>
        <w:rPr>
          <w:rFonts w:eastAsia="仿宋"/>
          <w:b w:val="0"/>
          <w:bCs w:val="0"/>
          <w:sz w:val="28"/>
          <w:szCs w:val="28"/>
        </w:rPr>
      </w:pPr>
      <w:r>
        <w:rPr>
          <w:rFonts w:hAnsi="仿宋" w:eastAsia="仿宋"/>
          <w:b w:val="0"/>
          <w:bCs w:val="0"/>
          <w:sz w:val="28"/>
          <w:szCs w:val="28"/>
        </w:rPr>
        <w:t>若发生大量泄漏：构筑围堤或收集至收集池，用防爆泵转移至槽车或专用收集器内，回收或运至废物处理场所处置。最早发现者应立即通知总指挥及值班领导报</w:t>
      </w:r>
      <w:r>
        <w:rPr>
          <w:rFonts w:eastAsia="仿宋"/>
          <w:b w:val="0"/>
          <w:bCs w:val="0"/>
          <w:sz w:val="28"/>
          <w:szCs w:val="28"/>
        </w:rPr>
        <w:t>110</w:t>
      </w:r>
      <w:r>
        <w:rPr>
          <w:rFonts w:hAnsi="仿宋" w:eastAsia="仿宋"/>
          <w:b w:val="0"/>
          <w:bCs w:val="0"/>
          <w:sz w:val="28"/>
          <w:szCs w:val="28"/>
        </w:rPr>
        <w:t>，报告化学危险物料外泄部位</w:t>
      </w:r>
      <w:r>
        <w:rPr>
          <w:rFonts w:eastAsia="仿宋"/>
          <w:b w:val="0"/>
          <w:bCs w:val="0"/>
          <w:sz w:val="28"/>
          <w:szCs w:val="28"/>
        </w:rPr>
        <w:t>(</w:t>
      </w:r>
      <w:r>
        <w:rPr>
          <w:rFonts w:hAnsi="仿宋" w:eastAsia="仿宋"/>
          <w:b w:val="0"/>
          <w:bCs w:val="0"/>
          <w:sz w:val="28"/>
          <w:szCs w:val="28"/>
        </w:rPr>
        <w:t>或装置</w:t>
      </w:r>
      <w:r>
        <w:rPr>
          <w:rFonts w:eastAsia="仿宋"/>
          <w:b w:val="0"/>
          <w:bCs w:val="0"/>
          <w:sz w:val="28"/>
          <w:szCs w:val="28"/>
        </w:rPr>
        <w:t>)</w:t>
      </w:r>
      <w:r>
        <w:rPr>
          <w:rFonts w:hAnsi="仿宋" w:eastAsia="仿宋"/>
          <w:b w:val="0"/>
          <w:bCs w:val="0"/>
          <w:sz w:val="28"/>
          <w:szCs w:val="28"/>
        </w:rPr>
        <w:t>，并根据召集应急救援小组，及时采取一切办法控制泄漏蔓延，并根据</w:t>
      </w:r>
      <w:r>
        <w:rPr>
          <w:rFonts w:hint="eastAsia" w:hAnsi="仿宋" w:eastAsia="仿宋"/>
          <w:b w:val="0"/>
          <w:bCs w:val="0"/>
          <w:sz w:val="28"/>
          <w:szCs w:val="28"/>
          <w:lang w:eastAsia="zh-CN"/>
        </w:rPr>
        <w:t>远安县</w:t>
      </w:r>
      <w:r>
        <w:rPr>
          <w:rFonts w:hAnsi="仿宋" w:eastAsia="仿宋"/>
          <w:b w:val="0"/>
          <w:bCs w:val="0"/>
          <w:sz w:val="28"/>
          <w:szCs w:val="28"/>
        </w:rPr>
        <w:t>的预案分级汇报。</w:t>
      </w:r>
    </w:p>
    <w:p>
      <w:pPr>
        <w:pStyle w:val="95"/>
        <w:spacing w:line="520" w:lineRule="exact"/>
        <w:ind w:firstLine="562"/>
        <w:rPr>
          <w:rFonts w:eastAsia="仿宋"/>
          <w:b w:val="0"/>
          <w:bCs w:val="0"/>
          <w:sz w:val="28"/>
          <w:szCs w:val="28"/>
        </w:rPr>
      </w:pPr>
      <w:r>
        <w:rPr>
          <w:rFonts w:hAnsi="仿宋" w:eastAsia="仿宋"/>
          <w:b w:val="0"/>
          <w:bCs w:val="0"/>
          <w:sz w:val="28"/>
          <w:szCs w:val="28"/>
        </w:rPr>
        <w:t>一旦事故污染物进入雨水管网，公司应立即启动应急预案，并报告相关主管部门，及时根据应急预案做好隔离措施和应对处理方案。</w:t>
      </w:r>
    </w:p>
    <w:bookmarkEnd w:id="101"/>
    <w:p>
      <w:pPr>
        <w:pStyle w:val="95"/>
        <w:spacing w:line="520" w:lineRule="exact"/>
        <w:ind w:firstLine="562"/>
        <w:jc w:val="both"/>
        <w:rPr>
          <w:rFonts w:eastAsia="仿宋"/>
          <w:b w:val="0"/>
          <w:bCs w:val="0"/>
          <w:sz w:val="28"/>
          <w:szCs w:val="28"/>
        </w:rPr>
      </w:pPr>
      <w:r>
        <w:rPr>
          <w:rFonts w:hAnsi="仿宋" w:eastAsia="仿宋"/>
          <w:b w:val="0"/>
          <w:bCs w:val="0"/>
          <w:sz w:val="28"/>
          <w:szCs w:val="28"/>
        </w:rPr>
        <w:t>公司涉及的危险物质主要有</w:t>
      </w:r>
      <w:r>
        <w:rPr>
          <w:rFonts w:hint="eastAsia" w:hAnsi="仿宋" w:eastAsia="仿宋"/>
          <w:b w:val="0"/>
          <w:bCs w:val="0"/>
          <w:sz w:val="28"/>
          <w:szCs w:val="28"/>
        </w:rPr>
        <w:t>液氯、黄磷（白磷）、液碱、五氯化磷、三氯化磷、磷酸、盐酸等。</w:t>
      </w:r>
      <w:r>
        <w:rPr>
          <w:rFonts w:hAnsi="仿宋" w:eastAsia="仿宋"/>
          <w:b w:val="0"/>
          <w:bCs w:val="0"/>
          <w:sz w:val="28"/>
          <w:szCs w:val="28"/>
        </w:rPr>
        <w:t>当危险物质发生泄漏时，针对不同的</w:t>
      </w:r>
      <w:r>
        <w:rPr>
          <w:rFonts w:hint="eastAsia" w:hAnsi="仿宋" w:eastAsia="仿宋"/>
          <w:b w:val="0"/>
          <w:bCs w:val="0"/>
          <w:sz w:val="28"/>
          <w:szCs w:val="28"/>
        </w:rPr>
        <w:t>危险废物</w:t>
      </w:r>
      <w:r>
        <w:rPr>
          <w:rFonts w:hAnsi="仿宋" w:eastAsia="仿宋"/>
          <w:b w:val="0"/>
          <w:bCs w:val="0"/>
          <w:sz w:val="28"/>
          <w:szCs w:val="28"/>
        </w:rPr>
        <w:t>的理化性质以及工作场所或贮存场所，采取相应的应急措施。</w:t>
      </w:r>
    </w:p>
    <w:p>
      <w:pPr>
        <w:pStyle w:val="9"/>
        <w:spacing w:before="0" w:after="0" w:line="520" w:lineRule="exact"/>
        <w:ind w:left="0" w:firstLine="0"/>
        <w:rPr>
          <w:rFonts w:eastAsia="仿宋"/>
        </w:rPr>
      </w:pPr>
      <w:r>
        <w:rPr>
          <w:rFonts w:hAnsi="仿宋" w:eastAsia="仿宋"/>
        </w:rPr>
        <w:t>危险固体废物应急处理措施</w:t>
      </w:r>
    </w:p>
    <w:p>
      <w:pPr>
        <w:pStyle w:val="95"/>
        <w:spacing w:line="520" w:lineRule="exact"/>
        <w:ind w:firstLine="562"/>
        <w:rPr>
          <w:rFonts w:eastAsia="仿宋"/>
          <w:b w:val="0"/>
          <w:bCs w:val="0"/>
          <w:sz w:val="28"/>
          <w:szCs w:val="28"/>
        </w:rPr>
      </w:pPr>
      <w:r>
        <w:rPr>
          <w:rFonts w:hAnsi="仿宋" w:eastAsia="仿宋"/>
          <w:b w:val="0"/>
          <w:bCs w:val="0"/>
          <w:sz w:val="28"/>
          <w:szCs w:val="28"/>
        </w:rPr>
        <w:t>公司在生产过程中产生的危险废物包括</w:t>
      </w:r>
      <w:r>
        <w:rPr>
          <w:rFonts w:hint="eastAsia"/>
          <w:b w:val="0"/>
          <w:bCs w:val="0"/>
          <w:sz w:val="28"/>
          <w:szCs w:val="28"/>
        </w:rPr>
        <w:t>含砷精馏残渣</w:t>
      </w:r>
      <w:r>
        <w:rPr>
          <w:rFonts w:hint="eastAsia"/>
          <w:b w:val="0"/>
          <w:bCs w:val="0"/>
          <w:sz w:val="28"/>
          <w:szCs w:val="28"/>
          <w:lang w:eastAsia="zh-CN"/>
        </w:rPr>
        <w:t>、废矿物油</w:t>
      </w:r>
      <w:r>
        <w:rPr>
          <w:rFonts w:hint="eastAsia"/>
          <w:b w:val="0"/>
          <w:bCs w:val="0"/>
          <w:sz w:val="28"/>
          <w:szCs w:val="28"/>
        </w:rPr>
        <w:t>等</w:t>
      </w:r>
      <w:r>
        <w:rPr>
          <w:rFonts w:hint="eastAsia" w:hAnsi="仿宋" w:eastAsia="仿宋"/>
          <w:b w:val="0"/>
          <w:bCs w:val="0"/>
          <w:sz w:val="28"/>
          <w:szCs w:val="28"/>
        </w:rPr>
        <w:t>。</w:t>
      </w:r>
    </w:p>
    <w:p>
      <w:pPr>
        <w:pStyle w:val="95"/>
        <w:spacing w:line="520" w:lineRule="exact"/>
        <w:ind w:firstLine="562"/>
        <w:rPr>
          <w:rFonts w:eastAsia="仿宋"/>
          <w:b w:val="0"/>
          <w:bCs w:val="0"/>
          <w:sz w:val="28"/>
          <w:szCs w:val="28"/>
        </w:rPr>
      </w:pPr>
      <w:r>
        <w:rPr>
          <w:rFonts w:hAnsi="仿宋" w:eastAsia="仿宋"/>
          <w:b w:val="0"/>
          <w:bCs w:val="0"/>
          <w:sz w:val="28"/>
          <w:szCs w:val="28"/>
        </w:rPr>
        <w:t>紧急情况包括：危废不按规定地点贮存；运输过程中抛洒、泄漏；接收危险废物的单位未按照规定处置废物，污染环境。</w:t>
      </w:r>
    </w:p>
    <w:p>
      <w:pPr>
        <w:pStyle w:val="95"/>
        <w:spacing w:line="520" w:lineRule="exact"/>
        <w:ind w:firstLine="562"/>
        <w:rPr>
          <w:rFonts w:eastAsia="仿宋"/>
          <w:b w:val="0"/>
          <w:bCs w:val="0"/>
          <w:sz w:val="28"/>
          <w:szCs w:val="28"/>
        </w:rPr>
      </w:pPr>
      <w:r>
        <w:rPr>
          <w:rFonts w:hAnsi="仿宋" w:eastAsia="仿宋"/>
          <w:b w:val="0"/>
          <w:bCs w:val="0"/>
          <w:sz w:val="28"/>
          <w:szCs w:val="28"/>
        </w:rPr>
        <w:t>应急处理措施：任何危险固体废物乱堆乱放，有可能渗入地下，污染地下水，发现意外的第一线人员应及时报知应急工作组领导。</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1</w:t>
      </w:r>
      <w:r>
        <w:rPr>
          <w:rFonts w:hAnsi="仿宋" w:eastAsia="仿宋"/>
          <w:b w:val="0"/>
          <w:bCs w:val="0"/>
          <w:sz w:val="28"/>
          <w:szCs w:val="28"/>
        </w:rPr>
        <w:t>）对乱堆乱放的，要及时清理、打扫干净，运至危废暂存间。</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2</w:t>
      </w:r>
      <w:r>
        <w:rPr>
          <w:rFonts w:hAnsi="仿宋" w:eastAsia="仿宋"/>
          <w:b w:val="0"/>
          <w:bCs w:val="0"/>
          <w:sz w:val="28"/>
          <w:szCs w:val="28"/>
        </w:rPr>
        <w:t>）对于运输过程中抛洒、泄漏的，运输人员发现后对泄漏废物进行清理回收。情况严重时立即通知应急小组人员及时赶赴现场，采取针对性措施。</w:t>
      </w:r>
    </w:p>
    <w:p>
      <w:pPr>
        <w:pStyle w:val="95"/>
        <w:spacing w:line="520" w:lineRule="exact"/>
        <w:ind w:firstLine="562"/>
        <w:rPr>
          <w:rFonts w:hAnsi="仿宋" w:eastAsia="仿宋"/>
          <w:b w:val="0"/>
          <w:bCs w:val="0"/>
          <w:sz w:val="28"/>
          <w:szCs w:val="28"/>
        </w:rPr>
      </w:pPr>
      <w:r>
        <w:rPr>
          <w:rFonts w:hAnsi="仿宋" w:eastAsia="仿宋"/>
          <w:b w:val="0"/>
          <w:bCs w:val="0"/>
          <w:sz w:val="28"/>
          <w:szCs w:val="28"/>
        </w:rPr>
        <w:t>（</w:t>
      </w:r>
      <w:r>
        <w:rPr>
          <w:rFonts w:eastAsia="仿宋"/>
          <w:b w:val="0"/>
          <w:bCs w:val="0"/>
          <w:sz w:val="28"/>
          <w:szCs w:val="28"/>
        </w:rPr>
        <w:t>3</w:t>
      </w:r>
      <w:r>
        <w:rPr>
          <w:rFonts w:hAnsi="仿宋" w:eastAsia="仿宋"/>
          <w:b w:val="0"/>
          <w:bCs w:val="0"/>
          <w:sz w:val="28"/>
          <w:szCs w:val="28"/>
        </w:rPr>
        <w:t>）接收危险废物的单位，未按规定合理处置危废的，按照协议办理，由接收单位清理回收污染物，把污染降到最低限度。</w:t>
      </w:r>
    </w:p>
    <w:p>
      <w:pPr>
        <w:pStyle w:val="32"/>
        <w:spacing w:line="240" w:lineRule="auto"/>
        <w:rPr>
          <w:rFonts w:hint="eastAsia" w:eastAsia="仿宋"/>
          <w:b w:val="0"/>
          <w:bCs w:val="0"/>
          <w:snapToGrid/>
          <w:kern w:val="2"/>
          <w:sz w:val="28"/>
          <w:szCs w:val="28"/>
        </w:rPr>
      </w:pPr>
    </w:p>
    <w:p>
      <w:pPr>
        <w:pStyle w:val="32"/>
        <w:spacing w:line="240" w:lineRule="auto"/>
        <w:rPr>
          <w:rFonts w:hint="eastAsia" w:eastAsia="仿宋"/>
          <w:b w:val="0"/>
          <w:bCs w:val="0"/>
          <w:snapToGrid/>
          <w:kern w:val="2"/>
          <w:sz w:val="28"/>
          <w:szCs w:val="28"/>
        </w:rPr>
      </w:pPr>
    </w:p>
    <w:p>
      <w:pPr>
        <w:pStyle w:val="32"/>
        <w:spacing w:line="240" w:lineRule="auto"/>
        <w:rPr>
          <w:rFonts w:hint="eastAsia" w:eastAsia="仿宋"/>
          <w:b w:val="0"/>
          <w:bCs w:val="0"/>
          <w:snapToGrid/>
          <w:kern w:val="2"/>
          <w:sz w:val="28"/>
          <w:szCs w:val="28"/>
        </w:rPr>
      </w:pPr>
    </w:p>
    <w:p>
      <w:pPr>
        <w:pStyle w:val="32"/>
        <w:spacing w:line="240" w:lineRule="auto"/>
        <w:rPr>
          <w:rFonts w:hint="eastAsia" w:eastAsia="仿宋"/>
          <w:b w:val="0"/>
          <w:bCs w:val="0"/>
          <w:snapToGrid/>
          <w:kern w:val="2"/>
          <w:sz w:val="28"/>
          <w:szCs w:val="28"/>
        </w:rPr>
      </w:pPr>
    </w:p>
    <w:p>
      <w:pPr>
        <w:pStyle w:val="32"/>
        <w:spacing w:line="240" w:lineRule="auto"/>
        <w:rPr>
          <w:rFonts w:eastAsia="仿宋"/>
          <w:b w:val="0"/>
          <w:bCs w:val="0"/>
          <w:snapToGrid/>
          <w:kern w:val="2"/>
          <w:sz w:val="28"/>
          <w:szCs w:val="28"/>
        </w:rPr>
      </w:pPr>
      <w:r>
        <w:rPr>
          <w:rFonts w:hint="eastAsia" w:eastAsia="仿宋"/>
          <w:b w:val="0"/>
          <w:bCs w:val="0"/>
          <w:snapToGrid/>
          <w:kern w:val="2"/>
          <w:sz w:val="28"/>
          <w:szCs w:val="28"/>
        </w:rPr>
        <w:t>表6.5-1   环境风险物质泄漏事故现场应急处置措施</w:t>
      </w:r>
    </w:p>
    <w:tbl>
      <w:tblPr>
        <w:tblStyle w:val="35"/>
        <w:tblW w:w="4998"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331"/>
        <w:gridCol w:w="1462"/>
        <w:gridCol w:w="2726"/>
        <w:gridCol w:w="1500"/>
        <w:gridCol w:w="562"/>
        <w:gridCol w:w="194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97" w:hRule="atLeast"/>
          <w:tblHeader/>
        </w:trPr>
        <w:tc>
          <w:tcPr>
            <w:tcW w:w="292" w:type="pct"/>
            <w:noWrap/>
            <w:vAlign w:val="center"/>
          </w:tcPr>
          <w:p>
            <w:pPr>
              <w:jc w:val="center"/>
              <w:rPr>
                <w:rFonts w:eastAsia="仿宋"/>
                <w:b/>
                <w:bCs/>
                <w:sz w:val="22"/>
                <w:szCs w:val="24"/>
              </w:rPr>
            </w:pPr>
            <w:r>
              <w:rPr>
                <w:rFonts w:hAnsi="仿宋" w:eastAsia="仿宋"/>
                <w:b/>
                <w:bCs/>
                <w:sz w:val="22"/>
                <w:szCs w:val="24"/>
              </w:rPr>
              <w:t>风险源</w:t>
            </w:r>
          </w:p>
        </w:tc>
        <w:tc>
          <w:tcPr>
            <w:tcW w:w="1318" w:type="pct"/>
            <w:noWrap/>
            <w:vAlign w:val="center"/>
          </w:tcPr>
          <w:p>
            <w:pPr>
              <w:jc w:val="center"/>
              <w:rPr>
                <w:rFonts w:eastAsia="仿宋"/>
                <w:b/>
                <w:bCs/>
                <w:sz w:val="22"/>
                <w:szCs w:val="24"/>
              </w:rPr>
            </w:pPr>
            <w:r>
              <w:rPr>
                <w:rFonts w:hAnsi="仿宋" w:eastAsia="仿宋"/>
                <w:b/>
                <w:bCs/>
                <w:sz w:val="22"/>
                <w:szCs w:val="24"/>
              </w:rPr>
              <w:t>切断污染源措施</w:t>
            </w:r>
          </w:p>
        </w:tc>
        <w:tc>
          <w:tcPr>
            <w:tcW w:w="1475" w:type="pct"/>
            <w:noWrap/>
            <w:vAlign w:val="center"/>
          </w:tcPr>
          <w:p>
            <w:pPr>
              <w:jc w:val="center"/>
              <w:rPr>
                <w:rFonts w:eastAsia="仿宋"/>
                <w:b/>
                <w:bCs/>
                <w:sz w:val="22"/>
                <w:szCs w:val="24"/>
              </w:rPr>
            </w:pPr>
            <w:r>
              <w:rPr>
                <w:rFonts w:hAnsi="仿宋" w:eastAsia="仿宋"/>
                <w:b/>
                <w:bCs/>
                <w:sz w:val="22"/>
                <w:szCs w:val="24"/>
              </w:rPr>
              <w:t>防治污染物扩散措施</w:t>
            </w:r>
          </w:p>
        </w:tc>
        <w:tc>
          <w:tcPr>
            <w:tcW w:w="778" w:type="pct"/>
            <w:noWrap/>
            <w:vAlign w:val="center"/>
          </w:tcPr>
          <w:p>
            <w:pPr>
              <w:jc w:val="center"/>
              <w:rPr>
                <w:rFonts w:eastAsia="仿宋"/>
                <w:b/>
                <w:bCs/>
                <w:sz w:val="22"/>
                <w:szCs w:val="24"/>
              </w:rPr>
            </w:pPr>
            <w:r>
              <w:rPr>
                <w:rFonts w:hAnsi="仿宋" w:eastAsia="仿宋"/>
                <w:b/>
                <w:bCs/>
                <w:sz w:val="22"/>
                <w:szCs w:val="24"/>
              </w:rPr>
              <w:t>次生污染消除措施</w:t>
            </w:r>
          </w:p>
        </w:tc>
        <w:tc>
          <w:tcPr>
            <w:tcW w:w="509" w:type="pct"/>
            <w:noWrap/>
            <w:vAlign w:val="center"/>
          </w:tcPr>
          <w:p>
            <w:pPr>
              <w:jc w:val="center"/>
              <w:rPr>
                <w:rFonts w:eastAsia="仿宋"/>
                <w:b/>
                <w:bCs/>
                <w:sz w:val="22"/>
                <w:szCs w:val="24"/>
              </w:rPr>
            </w:pPr>
            <w:r>
              <w:rPr>
                <w:rFonts w:hAnsi="仿宋" w:eastAsia="仿宋"/>
                <w:b/>
                <w:bCs/>
                <w:sz w:val="22"/>
                <w:szCs w:val="24"/>
              </w:rPr>
              <w:t>应急使用药剂及工具</w:t>
            </w:r>
          </w:p>
        </w:tc>
        <w:tc>
          <w:tcPr>
            <w:tcW w:w="626" w:type="pct"/>
            <w:noWrap/>
            <w:vAlign w:val="center"/>
          </w:tcPr>
          <w:p>
            <w:pPr>
              <w:jc w:val="center"/>
              <w:rPr>
                <w:rFonts w:eastAsia="仿宋"/>
                <w:b/>
                <w:bCs/>
                <w:sz w:val="22"/>
                <w:szCs w:val="24"/>
              </w:rPr>
            </w:pPr>
            <w:r>
              <w:rPr>
                <w:rFonts w:hAnsi="仿宋" w:eastAsia="仿宋"/>
                <w:b/>
                <w:bCs/>
                <w:sz w:val="22"/>
                <w:szCs w:val="24"/>
              </w:rPr>
              <w:t>应急处置废物处理措施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92" w:type="pct"/>
            <w:noWrap/>
            <w:vAlign w:val="center"/>
          </w:tcPr>
          <w:p>
            <w:pPr>
              <w:jc w:val="center"/>
              <w:rPr>
                <w:rFonts w:eastAsia="仿宋"/>
                <w:sz w:val="22"/>
                <w:szCs w:val="24"/>
              </w:rPr>
            </w:pPr>
            <w:r>
              <w:rPr>
                <w:rFonts w:hAnsi="仿宋" w:eastAsia="仿宋"/>
                <w:sz w:val="22"/>
                <w:szCs w:val="24"/>
              </w:rPr>
              <w:t>储罐区</w:t>
            </w:r>
          </w:p>
        </w:tc>
        <w:tc>
          <w:tcPr>
            <w:tcW w:w="1318" w:type="pct"/>
            <w:noWrap/>
            <w:vAlign w:val="center"/>
          </w:tcPr>
          <w:p>
            <w:pPr>
              <w:rPr>
                <w:rFonts w:eastAsia="仿宋"/>
                <w:sz w:val="22"/>
                <w:szCs w:val="24"/>
              </w:rPr>
            </w:pPr>
            <w:r>
              <w:rPr>
                <w:rFonts w:eastAsia="仿宋"/>
                <w:sz w:val="22"/>
                <w:szCs w:val="24"/>
              </w:rPr>
              <w:t>1</w:t>
            </w:r>
            <w:r>
              <w:rPr>
                <w:rFonts w:hAnsi="仿宋" w:eastAsia="仿宋"/>
                <w:sz w:val="22"/>
                <w:szCs w:val="24"/>
              </w:rPr>
              <w:t>、应急处理人员戴自给正压式呼吸器，穿防毒服。不要直接接触泄漏物。</w:t>
            </w:r>
          </w:p>
          <w:p>
            <w:pPr>
              <w:rPr>
                <w:rFonts w:eastAsia="仿宋"/>
                <w:sz w:val="22"/>
                <w:szCs w:val="24"/>
              </w:rPr>
            </w:pPr>
            <w:r>
              <w:rPr>
                <w:rFonts w:hint="eastAsia" w:eastAsia="仿宋"/>
                <w:sz w:val="22"/>
                <w:szCs w:val="24"/>
              </w:rPr>
              <w:t>2</w:t>
            </w:r>
            <w:r>
              <w:rPr>
                <w:rFonts w:hAnsi="仿宋" w:eastAsia="仿宋"/>
                <w:sz w:val="22"/>
                <w:szCs w:val="24"/>
              </w:rPr>
              <w:t>、采取措施修补和堵塞裂口，制止原料的进一步泄漏。</w:t>
            </w:r>
          </w:p>
          <w:p>
            <w:pPr>
              <w:rPr>
                <w:rFonts w:eastAsia="仿宋"/>
                <w:sz w:val="22"/>
                <w:szCs w:val="24"/>
              </w:rPr>
            </w:pPr>
            <w:r>
              <w:rPr>
                <w:rFonts w:hint="eastAsia" w:eastAsia="仿宋"/>
                <w:sz w:val="22"/>
                <w:szCs w:val="24"/>
              </w:rPr>
              <w:t>3</w:t>
            </w:r>
            <w:r>
              <w:rPr>
                <w:rFonts w:hAnsi="仿宋" w:eastAsia="仿宋"/>
                <w:sz w:val="22"/>
                <w:szCs w:val="24"/>
              </w:rPr>
              <w:t>、</w:t>
            </w:r>
            <w:r>
              <w:rPr>
                <w:rFonts w:hint="eastAsia" w:hAnsi="仿宋" w:eastAsia="仿宋"/>
                <w:sz w:val="22"/>
                <w:szCs w:val="24"/>
              </w:rPr>
              <w:t>事故废物收集完成后转运至有相关处理资质单位处理</w:t>
            </w:r>
            <w:r>
              <w:rPr>
                <w:rFonts w:hAnsi="仿宋" w:eastAsia="仿宋"/>
                <w:sz w:val="22"/>
                <w:szCs w:val="24"/>
              </w:rPr>
              <w:t>。</w:t>
            </w:r>
          </w:p>
        </w:tc>
        <w:tc>
          <w:tcPr>
            <w:tcW w:w="1475" w:type="pct"/>
            <w:noWrap/>
            <w:vAlign w:val="center"/>
          </w:tcPr>
          <w:p>
            <w:pPr>
              <w:rPr>
                <w:rFonts w:eastAsia="仿宋"/>
                <w:sz w:val="22"/>
                <w:szCs w:val="24"/>
              </w:rPr>
            </w:pPr>
            <w:r>
              <w:rPr>
                <w:rFonts w:eastAsia="仿宋"/>
                <w:sz w:val="22"/>
                <w:szCs w:val="24"/>
              </w:rPr>
              <w:t>1</w:t>
            </w:r>
            <w:r>
              <w:rPr>
                <w:rFonts w:hAnsi="仿宋" w:eastAsia="仿宋"/>
                <w:sz w:val="22"/>
                <w:szCs w:val="24"/>
              </w:rPr>
              <w:t>、小量泄漏：用黄沙吸附或吸收，将泄漏的污染物控制在储罐的围堰范围内，待油品被充分吸收后将附有油品的材料运至指定的场所进行专业处理。</w:t>
            </w:r>
          </w:p>
          <w:p>
            <w:pPr>
              <w:rPr>
                <w:rFonts w:eastAsia="仿宋"/>
                <w:sz w:val="22"/>
                <w:szCs w:val="24"/>
              </w:rPr>
            </w:pPr>
            <w:r>
              <w:rPr>
                <w:rFonts w:eastAsia="仿宋"/>
                <w:sz w:val="22"/>
                <w:szCs w:val="24"/>
              </w:rPr>
              <w:t>2</w:t>
            </w:r>
            <w:r>
              <w:rPr>
                <w:rFonts w:hAnsi="仿宋" w:eastAsia="仿宋"/>
                <w:sz w:val="22"/>
                <w:szCs w:val="24"/>
              </w:rPr>
              <w:t>、大量泄漏：用防爆泵将泄漏出的物料抽入容器内或槽车内，回收或运至专业处理场所处置。</w:t>
            </w:r>
          </w:p>
        </w:tc>
        <w:tc>
          <w:tcPr>
            <w:tcW w:w="778" w:type="pct"/>
            <w:noWrap/>
            <w:vAlign w:val="center"/>
          </w:tcPr>
          <w:p>
            <w:pPr>
              <w:rPr>
                <w:rFonts w:eastAsia="仿宋"/>
                <w:sz w:val="22"/>
                <w:szCs w:val="24"/>
              </w:rPr>
            </w:pPr>
            <w:r>
              <w:rPr>
                <w:rFonts w:eastAsia="仿宋"/>
                <w:sz w:val="22"/>
                <w:szCs w:val="24"/>
              </w:rPr>
              <w:t>1</w:t>
            </w:r>
            <w:r>
              <w:rPr>
                <w:rFonts w:hAnsi="仿宋" w:eastAsia="仿宋"/>
                <w:sz w:val="22"/>
                <w:szCs w:val="24"/>
              </w:rPr>
              <w:t>、</w:t>
            </w:r>
            <w:r>
              <w:rPr>
                <w:rFonts w:hint="eastAsia" w:hAnsi="仿宋" w:eastAsia="仿宋"/>
                <w:sz w:val="22"/>
                <w:szCs w:val="24"/>
              </w:rPr>
              <w:t>事故废水收集后</w:t>
            </w:r>
            <w:r>
              <w:rPr>
                <w:rFonts w:hAnsi="仿宋" w:eastAsia="仿宋"/>
                <w:sz w:val="22"/>
                <w:szCs w:val="24"/>
              </w:rPr>
              <w:t>委托</w:t>
            </w:r>
            <w:r>
              <w:rPr>
                <w:rFonts w:hint="eastAsia" w:hAnsi="仿宋" w:eastAsia="仿宋"/>
                <w:sz w:val="22"/>
                <w:szCs w:val="24"/>
              </w:rPr>
              <w:t>有相关处理资质单位</w:t>
            </w:r>
            <w:r>
              <w:rPr>
                <w:rFonts w:hAnsi="仿宋" w:eastAsia="仿宋"/>
                <w:sz w:val="22"/>
                <w:szCs w:val="24"/>
              </w:rPr>
              <w:t>处置。</w:t>
            </w:r>
          </w:p>
          <w:p>
            <w:pPr>
              <w:rPr>
                <w:rFonts w:eastAsia="仿宋"/>
                <w:sz w:val="22"/>
                <w:szCs w:val="24"/>
              </w:rPr>
            </w:pPr>
            <w:r>
              <w:rPr>
                <w:rFonts w:eastAsia="仿宋"/>
                <w:sz w:val="22"/>
                <w:szCs w:val="24"/>
              </w:rPr>
              <w:t>2</w:t>
            </w:r>
            <w:r>
              <w:rPr>
                <w:rFonts w:hAnsi="仿宋" w:eastAsia="仿宋"/>
                <w:sz w:val="22"/>
                <w:szCs w:val="24"/>
              </w:rPr>
              <w:t>、待事故现场污染物得到控制并消除已产生的污染物后方可启动正常</w:t>
            </w:r>
            <w:r>
              <w:rPr>
                <w:rFonts w:hint="eastAsia" w:hAnsi="仿宋" w:eastAsia="仿宋"/>
                <w:sz w:val="22"/>
                <w:szCs w:val="24"/>
              </w:rPr>
              <w:t>运行</w:t>
            </w:r>
            <w:r>
              <w:rPr>
                <w:rFonts w:hAnsi="仿宋" w:eastAsia="仿宋"/>
                <w:sz w:val="22"/>
                <w:szCs w:val="24"/>
              </w:rPr>
              <w:t>。</w:t>
            </w:r>
          </w:p>
          <w:p>
            <w:pPr>
              <w:rPr>
                <w:rFonts w:eastAsia="仿宋"/>
                <w:sz w:val="22"/>
                <w:szCs w:val="24"/>
              </w:rPr>
            </w:pPr>
            <w:r>
              <w:rPr>
                <w:rFonts w:eastAsia="仿宋"/>
                <w:sz w:val="22"/>
                <w:szCs w:val="24"/>
              </w:rPr>
              <w:t>3</w:t>
            </w:r>
            <w:r>
              <w:rPr>
                <w:rFonts w:hAnsi="仿宋" w:eastAsia="仿宋"/>
                <w:sz w:val="22"/>
                <w:szCs w:val="24"/>
              </w:rPr>
              <w:t>、事件处理过程中产生的固态液态废物（包括危险废物）回收处置</w:t>
            </w:r>
          </w:p>
        </w:tc>
        <w:tc>
          <w:tcPr>
            <w:tcW w:w="509" w:type="pct"/>
            <w:noWrap/>
            <w:vAlign w:val="center"/>
          </w:tcPr>
          <w:p>
            <w:pPr>
              <w:rPr>
                <w:rFonts w:eastAsia="仿宋"/>
                <w:sz w:val="22"/>
                <w:szCs w:val="24"/>
              </w:rPr>
            </w:pPr>
            <w:r>
              <w:rPr>
                <w:rFonts w:hAnsi="仿宋" w:eastAsia="仿宋"/>
                <w:sz w:val="22"/>
                <w:szCs w:val="24"/>
              </w:rPr>
              <w:t>黄沙、</w:t>
            </w:r>
            <w:r>
              <w:rPr>
                <w:rFonts w:hint="eastAsia" w:hAnsi="仿宋" w:eastAsia="仿宋"/>
                <w:sz w:val="22"/>
                <w:szCs w:val="24"/>
              </w:rPr>
              <w:t>灭火器</w:t>
            </w:r>
          </w:p>
        </w:tc>
        <w:tc>
          <w:tcPr>
            <w:tcW w:w="626" w:type="pct"/>
            <w:noWrap/>
            <w:vAlign w:val="center"/>
          </w:tcPr>
          <w:p>
            <w:pPr>
              <w:rPr>
                <w:rFonts w:eastAsia="仿宋"/>
                <w:sz w:val="22"/>
                <w:szCs w:val="24"/>
              </w:rPr>
            </w:pPr>
            <w:r>
              <w:rPr>
                <w:rFonts w:hAnsi="仿宋" w:eastAsia="仿宋"/>
                <w:sz w:val="22"/>
                <w:szCs w:val="24"/>
              </w:rPr>
              <w:t>事件处理过程中产生的固态液态废物（包括危险废物）经统一回收后，委托有资质单位统一运输处置。</w:t>
            </w:r>
          </w:p>
        </w:tc>
      </w:tr>
    </w:tbl>
    <w:p>
      <w:pPr>
        <w:pStyle w:val="9"/>
        <w:spacing w:before="0" w:after="0" w:line="520" w:lineRule="exact"/>
        <w:ind w:left="0" w:firstLine="0"/>
        <w:rPr>
          <w:rFonts w:eastAsia="仿宋"/>
        </w:rPr>
      </w:pPr>
      <w:r>
        <w:rPr>
          <w:rFonts w:hAnsi="仿宋" w:eastAsia="仿宋"/>
        </w:rPr>
        <w:t>储罐区火灾、爆炸事故应急措施</w:t>
      </w:r>
    </w:p>
    <w:p>
      <w:pPr>
        <w:pStyle w:val="95"/>
        <w:spacing w:line="520" w:lineRule="exact"/>
        <w:ind w:firstLine="562"/>
        <w:jc w:val="both"/>
        <w:rPr>
          <w:rFonts w:eastAsia="仿宋"/>
          <w:b w:val="0"/>
          <w:bCs w:val="0"/>
          <w:sz w:val="28"/>
          <w:szCs w:val="28"/>
        </w:rPr>
      </w:pPr>
      <w:r>
        <w:rPr>
          <w:rFonts w:hAnsi="仿宋" w:eastAsia="仿宋"/>
          <w:b w:val="0"/>
          <w:bCs w:val="0"/>
          <w:sz w:val="28"/>
          <w:szCs w:val="28"/>
        </w:rPr>
        <w:t>公司涉及的危险化学品若发生泄漏后遇明火、高热或禁忌物能引发火灾或爆炸。因此，一旦发生火灾爆炸时，做到立即报警，并且充分发挥整体组织功能，在人身确保安全的前提下，扑灭初起火灾，将灾害减到最低程度，避免火势扩大殃及周围危险场所，避免造成重大人员伤亡。具体要求如下：</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1</w:t>
      </w:r>
      <w:r>
        <w:rPr>
          <w:rFonts w:hAnsi="仿宋" w:eastAsia="仿宋"/>
          <w:b w:val="0"/>
          <w:bCs w:val="0"/>
          <w:sz w:val="28"/>
          <w:szCs w:val="28"/>
        </w:rPr>
        <w:t>）现场发生火灾时，发现人员应大声报告，立刻报警，并及时切断事故现场电源，停止</w:t>
      </w:r>
      <w:r>
        <w:rPr>
          <w:rFonts w:hint="eastAsia" w:hAnsi="仿宋" w:eastAsia="仿宋"/>
          <w:b w:val="0"/>
          <w:bCs w:val="0"/>
          <w:sz w:val="28"/>
          <w:szCs w:val="28"/>
        </w:rPr>
        <w:t>运营</w:t>
      </w:r>
      <w:r>
        <w:rPr>
          <w:rFonts w:hAnsi="仿宋" w:eastAsia="仿宋"/>
          <w:b w:val="0"/>
          <w:bCs w:val="0"/>
          <w:sz w:val="28"/>
          <w:szCs w:val="28"/>
        </w:rPr>
        <w:t>，并迅速担负起抢救工作。</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2</w:t>
      </w:r>
      <w:r>
        <w:rPr>
          <w:rFonts w:hAnsi="仿宋" w:eastAsia="仿宋"/>
          <w:b w:val="0"/>
          <w:bCs w:val="0"/>
          <w:sz w:val="28"/>
          <w:szCs w:val="28"/>
        </w:rPr>
        <w:t>）应急指挥组迅速电话通知所有的应急救援队伍人员到着火区域上风口集合了解分析情况，疏散无关人员至安全区，并分析和确定火灾爆炸原因，采取相应措施进行扑救。</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3</w:t>
      </w:r>
      <w:r>
        <w:rPr>
          <w:rFonts w:hAnsi="仿宋" w:eastAsia="仿宋"/>
          <w:b w:val="0"/>
          <w:bCs w:val="0"/>
          <w:sz w:val="28"/>
          <w:szCs w:val="28"/>
        </w:rPr>
        <w:t>）当火势趋盛、无法靠自身力量扑救和控制时，职工应立即疏散撤离，并对人员进行清点，留下主控人员对系统进行手动控制，停止系统运行。</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4</w:t>
      </w:r>
      <w:r>
        <w:rPr>
          <w:rFonts w:hAnsi="仿宋" w:eastAsia="仿宋"/>
          <w:b w:val="0"/>
          <w:bCs w:val="0"/>
          <w:sz w:val="28"/>
          <w:szCs w:val="28"/>
        </w:rPr>
        <w:t>）其他工段人员密切注意本岗情况，加强岗位监督控制，确保其它目标安全生产。</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5</w:t>
      </w:r>
      <w:r>
        <w:rPr>
          <w:rFonts w:hAnsi="仿宋" w:eastAsia="仿宋"/>
          <w:b w:val="0"/>
          <w:bCs w:val="0"/>
          <w:sz w:val="28"/>
          <w:szCs w:val="28"/>
        </w:rPr>
        <w:t>）如小量泄漏，则堵漏后，泄漏</w:t>
      </w:r>
      <w:r>
        <w:rPr>
          <w:rFonts w:hint="eastAsia" w:hAnsi="仿宋" w:eastAsia="仿宋"/>
          <w:b w:val="0"/>
          <w:bCs w:val="0"/>
          <w:sz w:val="28"/>
          <w:szCs w:val="28"/>
          <w:lang w:eastAsia="zh-CN"/>
        </w:rPr>
        <w:t>物</w:t>
      </w:r>
      <w:r>
        <w:rPr>
          <w:rFonts w:hAnsi="仿宋" w:eastAsia="仿宋"/>
          <w:b w:val="0"/>
          <w:bCs w:val="0"/>
          <w:sz w:val="28"/>
          <w:szCs w:val="28"/>
        </w:rPr>
        <w:t>用砂土或其他不燃材料吸附或吸收，待</w:t>
      </w:r>
      <w:r>
        <w:rPr>
          <w:rFonts w:hint="eastAsia" w:hAnsi="仿宋" w:eastAsia="仿宋"/>
          <w:b w:val="0"/>
          <w:bCs w:val="0"/>
          <w:sz w:val="28"/>
          <w:szCs w:val="28"/>
          <w:lang w:eastAsia="zh-CN"/>
        </w:rPr>
        <w:t>泄漏物</w:t>
      </w:r>
      <w:r>
        <w:rPr>
          <w:rFonts w:hAnsi="仿宋" w:eastAsia="仿宋"/>
          <w:b w:val="0"/>
          <w:bCs w:val="0"/>
          <w:sz w:val="28"/>
          <w:szCs w:val="28"/>
        </w:rPr>
        <w:t>被充分吸收后将附有油品的材料运至指定的场所进行专业处理；如大量泄漏，则堵漏后，使用防爆泵将泄漏的废</w:t>
      </w:r>
      <w:r>
        <w:rPr>
          <w:rFonts w:hint="eastAsia" w:hAnsi="仿宋" w:eastAsia="仿宋"/>
          <w:b w:val="0"/>
          <w:bCs w:val="0"/>
          <w:sz w:val="28"/>
          <w:szCs w:val="28"/>
          <w:lang w:eastAsia="zh-CN"/>
        </w:rPr>
        <w:t>弃物</w:t>
      </w:r>
      <w:r>
        <w:rPr>
          <w:rFonts w:hAnsi="仿宋" w:eastAsia="仿宋"/>
          <w:b w:val="0"/>
          <w:bCs w:val="0"/>
          <w:sz w:val="28"/>
          <w:szCs w:val="28"/>
        </w:rPr>
        <w:t>转移至专用收集容器（地槽）内，回收或运至专业处理场所处置。</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6</w:t>
      </w:r>
      <w:r>
        <w:rPr>
          <w:rFonts w:hAnsi="仿宋" w:eastAsia="仿宋"/>
          <w:b w:val="0"/>
          <w:bCs w:val="0"/>
          <w:sz w:val="28"/>
          <w:szCs w:val="28"/>
        </w:rPr>
        <w:t>）如情况严重，必要时由总指挥下令公司全部停止，切断所有危险源连接管道，将所有人员紧急疏散到厂区外安全地带。</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7</w:t>
      </w:r>
      <w:r>
        <w:rPr>
          <w:rFonts w:hAnsi="仿宋" w:eastAsia="仿宋"/>
          <w:b w:val="0"/>
          <w:bCs w:val="0"/>
          <w:sz w:val="28"/>
          <w:szCs w:val="28"/>
        </w:rPr>
        <w:t>）厂区应急救援小组在总指挥的领导下尽最大努力，以最佳办法将火灾爆炸控制在可控范围内。</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8</w:t>
      </w:r>
      <w:r>
        <w:rPr>
          <w:rFonts w:hAnsi="仿宋" w:eastAsia="仿宋"/>
          <w:b w:val="0"/>
          <w:bCs w:val="0"/>
          <w:sz w:val="28"/>
          <w:szCs w:val="28"/>
        </w:rPr>
        <w:t>）如人员力量不足或火势无法控制，由总指挥决定通知外援，直至火灭为止。</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9</w:t>
      </w:r>
      <w:r>
        <w:rPr>
          <w:rFonts w:hAnsi="仿宋" w:eastAsia="仿宋"/>
          <w:b w:val="0"/>
          <w:bCs w:val="0"/>
          <w:sz w:val="28"/>
          <w:szCs w:val="28"/>
        </w:rPr>
        <w:t>）火灾事故处理完毕后，由副指挥组织全体应急救援人员和消防人员，对现场进行清理，对人员进行清点。由技术组对事故经过进行记录，对事故进行调查报安全生产管理委员会。</w:t>
      </w:r>
    </w:p>
    <w:p>
      <w:pPr>
        <w:pStyle w:val="95"/>
        <w:spacing w:line="520" w:lineRule="exact"/>
        <w:ind w:firstLine="562"/>
        <w:jc w:val="both"/>
        <w:rPr>
          <w:rFonts w:eastAsia="仿宋"/>
          <w:b w:val="0"/>
          <w:bCs w:val="0"/>
          <w:sz w:val="28"/>
          <w:szCs w:val="28"/>
        </w:rPr>
      </w:pPr>
      <w:r>
        <w:rPr>
          <w:rFonts w:hAnsi="仿宋" w:eastAsia="仿宋"/>
          <w:b w:val="0"/>
          <w:bCs w:val="0"/>
          <w:sz w:val="28"/>
          <w:szCs w:val="28"/>
        </w:rPr>
        <w:t>以上是总体做法，具体到</w:t>
      </w:r>
      <w:r>
        <w:rPr>
          <w:rFonts w:hint="eastAsia" w:hAnsi="仿宋" w:eastAsia="仿宋"/>
          <w:b w:val="0"/>
          <w:bCs w:val="0"/>
          <w:sz w:val="28"/>
          <w:szCs w:val="28"/>
        </w:rPr>
        <w:t>各操作步骤</w:t>
      </w:r>
      <w:r>
        <w:rPr>
          <w:rFonts w:hAnsi="仿宋" w:eastAsia="仿宋"/>
          <w:b w:val="0"/>
          <w:bCs w:val="0"/>
          <w:sz w:val="28"/>
          <w:szCs w:val="28"/>
        </w:rPr>
        <w:t>，需根据已有消防设施和火灾现场，采取直接、有效的方式进行灭火，各场所应急措施简述如下：</w:t>
      </w:r>
    </w:p>
    <w:p>
      <w:pPr>
        <w:pStyle w:val="95"/>
        <w:spacing w:line="520" w:lineRule="exact"/>
        <w:ind w:firstLine="562"/>
        <w:jc w:val="both"/>
        <w:rPr>
          <w:rFonts w:eastAsia="仿宋"/>
          <w:b w:val="0"/>
          <w:bCs w:val="0"/>
          <w:sz w:val="28"/>
          <w:szCs w:val="28"/>
        </w:rPr>
      </w:pPr>
      <w:r>
        <w:rPr>
          <w:rFonts w:hint="eastAsia" w:ascii="仿宋" w:hAnsi="仿宋" w:eastAsia="仿宋"/>
          <w:b w:val="0"/>
          <w:bCs w:val="0"/>
          <w:sz w:val="28"/>
          <w:szCs w:val="28"/>
        </w:rPr>
        <w:t>①</w:t>
      </w:r>
      <w:r>
        <w:rPr>
          <w:rFonts w:hAnsi="仿宋" w:eastAsia="仿宋"/>
          <w:b w:val="0"/>
          <w:bCs w:val="0"/>
          <w:sz w:val="28"/>
          <w:szCs w:val="28"/>
        </w:rPr>
        <w:t>储罐火灾爆炸事故应急措施</w:t>
      </w:r>
    </w:p>
    <w:p>
      <w:pPr>
        <w:pStyle w:val="95"/>
        <w:spacing w:line="520" w:lineRule="exact"/>
        <w:ind w:firstLine="562"/>
        <w:jc w:val="both"/>
        <w:rPr>
          <w:rFonts w:eastAsia="仿宋"/>
          <w:b w:val="0"/>
          <w:bCs w:val="0"/>
          <w:sz w:val="28"/>
          <w:szCs w:val="28"/>
        </w:rPr>
      </w:pPr>
      <w:r>
        <w:rPr>
          <w:rFonts w:hAnsi="仿宋" w:eastAsia="仿宋"/>
          <w:b w:val="0"/>
          <w:bCs w:val="0"/>
          <w:sz w:val="28"/>
          <w:szCs w:val="28"/>
        </w:rPr>
        <w:t>当储罐发生火灾后，消防队按照储罐灭火方案进入阵地，对罐顶喷洒</w:t>
      </w:r>
      <w:r>
        <w:rPr>
          <w:rFonts w:hint="eastAsia" w:hAnsi="仿宋" w:eastAsia="仿宋"/>
          <w:b w:val="0"/>
          <w:bCs w:val="0"/>
          <w:sz w:val="28"/>
          <w:szCs w:val="28"/>
        </w:rPr>
        <w:t>干粉</w:t>
      </w:r>
      <w:r>
        <w:rPr>
          <w:rFonts w:hAnsi="仿宋" w:eastAsia="仿宋"/>
          <w:b w:val="0"/>
          <w:bCs w:val="0"/>
          <w:sz w:val="28"/>
          <w:szCs w:val="28"/>
        </w:rPr>
        <w:t>灭火，必须首先熄灭贮罐周围的明火，降温减轻热辐射，封锁交通，所有装置紧急停工，以防事态进一步扩大。条件具备时采用消防沙、干粉灭火器等消防器材进行实施灭火。如果因罐体泄漏引起的火灾，在大火熄灭后，检修人员需要在消防队的监视下迅速堵漏。灭火后应对贮罐进行维修检查，在确定无其他隐患后，才可能恢复正常储运业务。</w:t>
      </w:r>
    </w:p>
    <w:p>
      <w:pPr>
        <w:pStyle w:val="95"/>
        <w:spacing w:line="520" w:lineRule="exact"/>
        <w:ind w:firstLine="562"/>
        <w:jc w:val="both"/>
        <w:rPr>
          <w:rFonts w:eastAsia="仿宋"/>
          <w:b w:val="0"/>
          <w:bCs w:val="0"/>
          <w:sz w:val="28"/>
          <w:szCs w:val="28"/>
        </w:rPr>
      </w:pPr>
      <w:r>
        <w:rPr>
          <w:rFonts w:hAnsi="仿宋" w:eastAsia="仿宋"/>
          <w:b w:val="0"/>
          <w:bCs w:val="0"/>
          <w:sz w:val="28"/>
          <w:szCs w:val="28"/>
        </w:rPr>
        <w:t>如火灾无法控制，可能发生连锁爆炸时，要及时通知并疏散周围的企业员工，防止造成人员伤亡。</w:t>
      </w:r>
    </w:p>
    <w:p>
      <w:pPr>
        <w:pStyle w:val="95"/>
        <w:spacing w:line="520" w:lineRule="exact"/>
        <w:ind w:firstLine="562"/>
        <w:jc w:val="both"/>
        <w:rPr>
          <w:rFonts w:eastAsia="仿宋"/>
          <w:b w:val="0"/>
          <w:bCs w:val="0"/>
          <w:sz w:val="28"/>
          <w:szCs w:val="28"/>
        </w:rPr>
      </w:pPr>
      <w:r>
        <w:rPr>
          <w:rFonts w:hint="eastAsia" w:ascii="仿宋" w:hAnsi="仿宋" w:eastAsia="仿宋"/>
          <w:b w:val="0"/>
          <w:bCs w:val="0"/>
          <w:sz w:val="28"/>
          <w:szCs w:val="28"/>
        </w:rPr>
        <w:t>②</w:t>
      </w:r>
      <w:r>
        <w:rPr>
          <w:rFonts w:hAnsi="仿宋" w:eastAsia="仿宋"/>
          <w:b w:val="0"/>
          <w:bCs w:val="0"/>
          <w:sz w:val="28"/>
          <w:szCs w:val="28"/>
        </w:rPr>
        <w:t>火灾爆炸事故应急措施</w:t>
      </w:r>
    </w:p>
    <w:p>
      <w:pPr>
        <w:pStyle w:val="95"/>
        <w:spacing w:line="520" w:lineRule="exact"/>
        <w:ind w:firstLine="562"/>
        <w:jc w:val="both"/>
        <w:rPr>
          <w:rFonts w:eastAsia="仿宋"/>
          <w:b w:val="0"/>
          <w:bCs w:val="0"/>
          <w:sz w:val="28"/>
          <w:szCs w:val="28"/>
        </w:rPr>
      </w:pPr>
      <w:r>
        <w:rPr>
          <w:rFonts w:hAnsi="仿宋" w:eastAsia="仿宋"/>
          <w:b w:val="0"/>
          <w:bCs w:val="0"/>
          <w:sz w:val="28"/>
          <w:szCs w:val="28"/>
        </w:rPr>
        <w:t>发生火灾事故时：</w:t>
      </w:r>
    </w:p>
    <w:p>
      <w:pPr>
        <w:pStyle w:val="95"/>
        <w:spacing w:line="520" w:lineRule="exact"/>
        <w:ind w:firstLine="562"/>
        <w:jc w:val="both"/>
        <w:rPr>
          <w:rFonts w:eastAsia="仿宋"/>
          <w:b w:val="0"/>
          <w:bCs w:val="0"/>
          <w:sz w:val="28"/>
          <w:szCs w:val="28"/>
        </w:rPr>
      </w:pPr>
      <w:r>
        <w:rPr>
          <w:rFonts w:eastAsia="仿宋"/>
          <w:b w:val="0"/>
          <w:bCs w:val="0"/>
          <w:sz w:val="28"/>
          <w:szCs w:val="28"/>
        </w:rPr>
        <w:t>a.</w:t>
      </w:r>
      <w:r>
        <w:rPr>
          <w:rFonts w:hAnsi="仿宋" w:eastAsia="仿宋"/>
          <w:b w:val="0"/>
          <w:bCs w:val="0"/>
          <w:sz w:val="28"/>
          <w:szCs w:val="28"/>
        </w:rPr>
        <w:t>立即切断电源，关停所有生产设备，迅速切断电源及连所有正在工作设备的管道阀门；</w:t>
      </w:r>
    </w:p>
    <w:p>
      <w:pPr>
        <w:pStyle w:val="95"/>
        <w:spacing w:line="520" w:lineRule="exact"/>
        <w:ind w:firstLine="562"/>
        <w:jc w:val="both"/>
        <w:rPr>
          <w:rFonts w:eastAsia="仿宋"/>
          <w:b w:val="0"/>
          <w:bCs w:val="0"/>
          <w:sz w:val="28"/>
          <w:szCs w:val="28"/>
        </w:rPr>
      </w:pPr>
      <w:r>
        <w:rPr>
          <w:rFonts w:eastAsia="仿宋"/>
          <w:b w:val="0"/>
          <w:bCs w:val="0"/>
          <w:sz w:val="28"/>
          <w:szCs w:val="28"/>
        </w:rPr>
        <w:t>b.</w:t>
      </w:r>
      <w:r>
        <w:rPr>
          <w:rFonts w:hAnsi="仿宋" w:eastAsia="仿宋"/>
          <w:b w:val="0"/>
          <w:bCs w:val="0"/>
          <w:sz w:val="28"/>
          <w:szCs w:val="28"/>
        </w:rPr>
        <w:t>用干粉、二氧化碳灭火器等进行灭火，用沙土进行覆盖，防止火势进一步蔓延</w:t>
      </w:r>
      <w:r>
        <w:rPr>
          <w:rFonts w:hint="eastAsia" w:hAnsi="仿宋" w:eastAsia="仿宋"/>
          <w:b w:val="0"/>
          <w:bCs w:val="0"/>
          <w:sz w:val="28"/>
          <w:szCs w:val="28"/>
        </w:rPr>
        <w:t>；</w:t>
      </w:r>
    </w:p>
    <w:p>
      <w:pPr>
        <w:pStyle w:val="95"/>
        <w:spacing w:line="520" w:lineRule="exact"/>
        <w:ind w:firstLine="562"/>
        <w:jc w:val="both"/>
        <w:rPr>
          <w:rFonts w:eastAsia="仿宋"/>
          <w:b w:val="0"/>
          <w:bCs w:val="0"/>
          <w:sz w:val="28"/>
          <w:szCs w:val="28"/>
        </w:rPr>
      </w:pPr>
      <w:r>
        <w:rPr>
          <w:rFonts w:eastAsia="仿宋"/>
          <w:b w:val="0"/>
          <w:bCs w:val="0"/>
          <w:sz w:val="28"/>
          <w:szCs w:val="28"/>
        </w:rPr>
        <w:t>c.</w:t>
      </w:r>
      <w:r>
        <w:rPr>
          <w:rFonts w:hAnsi="仿宋" w:eastAsia="仿宋"/>
          <w:b w:val="0"/>
          <w:bCs w:val="0"/>
          <w:sz w:val="28"/>
          <w:szCs w:val="28"/>
        </w:rPr>
        <w:t>火势扑灭后须对现场进行消洗，消洗水</w:t>
      </w:r>
      <w:r>
        <w:rPr>
          <w:rFonts w:hint="eastAsia" w:hAnsi="仿宋" w:eastAsia="仿宋"/>
          <w:b w:val="0"/>
          <w:bCs w:val="0"/>
          <w:sz w:val="28"/>
          <w:szCs w:val="28"/>
        </w:rPr>
        <w:t>不可</w:t>
      </w:r>
      <w:r>
        <w:rPr>
          <w:rFonts w:hAnsi="仿宋" w:eastAsia="仿宋"/>
          <w:b w:val="0"/>
          <w:bCs w:val="0"/>
          <w:sz w:val="28"/>
          <w:szCs w:val="28"/>
        </w:rPr>
        <w:t>进入事故应急池，根据其性质</w:t>
      </w:r>
      <w:r>
        <w:rPr>
          <w:rFonts w:hint="eastAsia" w:hAnsi="仿宋" w:eastAsia="仿宋"/>
          <w:b w:val="0"/>
          <w:bCs w:val="0"/>
          <w:sz w:val="28"/>
          <w:szCs w:val="28"/>
        </w:rPr>
        <w:t>应作为危险废物</w:t>
      </w:r>
      <w:r>
        <w:rPr>
          <w:rFonts w:hAnsi="仿宋" w:eastAsia="仿宋"/>
          <w:b w:val="0"/>
          <w:bCs w:val="0"/>
          <w:sz w:val="28"/>
          <w:szCs w:val="28"/>
        </w:rPr>
        <w:t>委托</w:t>
      </w:r>
      <w:r>
        <w:rPr>
          <w:rFonts w:hint="eastAsia" w:hAnsi="仿宋" w:eastAsia="仿宋"/>
          <w:b w:val="0"/>
          <w:bCs w:val="0"/>
          <w:sz w:val="28"/>
          <w:szCs w:val="28"/>
        </w:rPr>
        <w:t>有相应资质第三方</w:t>
      </w:r>
      <w:r>
        <w:rPr>
          <w:rFonts w:hAnsi="仿宋" w:eastAsia="仿宋"/>
          <w:b w:val="0"/>
          <w:bCs w:val="0"/>
          <w:sz w:val="28"/>
          <w:szCs w:val="28"/>
        </w:rPr>
        <w:t>处置。其他清点、记录等善后工作按要求进行。</w:t>
      </w:r>
    </w:p>
    <w:p>
      <w:pPr>
        <w:pStyle w:val="9"/>
        <w:spacing w:before="0" w:after="0" w:line="520" w:lineRule="exact"/>
        <w:ind w:left="0" w:firstLine="0"/>
        <w:rPr>
          <w:rFonts w:eastAsia="仿宋"/>
        </w:rPr>
      </w:pPr>
      <w:r>
        <w:rPr>
          <w:rFonts w:hAnsi="仿宋" w:eastAsia="仿宋"/>
        </w:rPr>
        <w:t>紧急</w:t>
      </w:r>
      <w:r>
        <w:rPr>
          <w:rFonts w:hint="eastAsia" w:hAnsi="仿宋" w:eastAsia="仿宋"/>
        </w:rPr>
        <w:t>停工</w:t>
      </w:r>
      <w:r>
        <w:rPr>
          <w:rFonts w:hAnsi="仿宋" w:eastAsia="仿宋"/>
        </w:rPr>
        <w:t>的基本程序</w:t>
      </w:r>
    </w:p>
    <w:p>
      <w:pPr>
        <w:pStyle w:val="95"/>
        <w:spacing w:line="520" w:lineRule="exact"/>
        <w:ind w:firstLine="562"/>
        <w:rPr>
          <w:rFonts w:eastAsia="仿宋"/>
          <w:b w:val="0"/>
          <w:bCs w:val="0"/>
          <w:sz w:val="28"/>
          <w:szCs w:val="28"/>
        </w:rPr>
      </w:pPr>
      <w:r>
        <w:rPr>
          <w:rFonts w:ascii="仿宋" w:hAnsi="仿宋" w:eastAsia="仿宋"/>
          <w:b w:val="0"/>
          <w:bCs w:val="0"/>
          <w:sz w:val="28"/>
          <w:szCs w:val="28"/>
        </w:rPr>
        <w:t>①</w:t>
      </w:r>
      <w:r>
        <w:rPr>
          <w:rFonts w:hAnsi="仿宋" w:eastAsia="仿宋"/>
          <w:b w:val="0"/>
          <w:bCs w:val="0"/>
          <w:sz w:val="28"/>
          <w:szCs w:val="28"/>
        </w:rPr>
        <w:t>管线破裂泄漏：应及时关闭泄漏两端最近的阀门；</w:t>
      </w:r>
    </w:p>
    <w:p>
      <w:pPr>
        <w:pStyle w:val="95"/>
        <w:spacing w:line="520" w:lineRule="exact"/>
        <w:ind w:firstLine="562"/>
        <w:rPr>
          <w:rFonts w:eastAsia="仿宋"/>
          <w:b w:val="0"/>
          <w:bCs w:val="0"/>
          <w:sz w:val="28"/>
          <w:szCs w:val="28"/>
        </w:rPr>
      </w:pPr>
      <w:r>
        <w:rPr>
          <w:rFonts w:ascii="仿宋" w:hAnsi="仿宋" w:eastAsia="仿宋"/>
          <w:b w:val="0"/>
          <w:bCs w:val="0"/>
          <w:sz w:val="28"/>
          <w:szCs w:val="28"/>
        </w:rPr>
        <w:t>②</w:t>
      </w:r>
      <w:r>
        <w:rPr>
          <w:rFonts w:hAnsi="仿宋" w:eastAsia="仿宋"/>
          <w:b w:val="0"/>
          <w:bCs w:val="0"/>
          <w:sz w:val="28"/>
          <w:szCs w:val="28"/>
        </w:rPr>
        <w:t>储罐阀门破裂泄漏：应及时关闭泄漏源上端最近的阀门或紧急切断阀；</w:t>
      </w:r>
    </w:p>
    <w:p>
      <w:pPr>
        <w:pStyle w:val="95"/>
        <w:spacing w:line="520" w:lineRule="exact"/>
        <w:ind w:firstLine="562"/>
        <w:rPr>
          <w:rFonts w:eastAsia="仿宋"/>
          <w:b w:val="0"/>
          <w:bCs w:val="0"/>
          <w:sz w:val="28"/>
          <w:szCs w:val="28"/>
        </w:rPr>
      </w:pPr>
      <w:r>
        <w:rPr>
          <w:rFonts w:ascii="仿宋" w:hAnsi="仿宋" w:eastAsia="仿宋"/>
          <w:b w:val="0"/>
          <w:bCs w:val="0"/>
          <w:sz w:val="28"/>
          <w:szCs w:val="28"/>
        </w:rPr>
        <w:t>③</w:t>
      </w:r>
      <w:r>
        <w:rPr>
          <w:rFonts w:hAnsi="仿宋" w:eastAsia="仿宋"/>
          <w:b w:val="0"/>
          <w:bCs w:val="0"/>
          <w:sz w:val="28"/>
          <w:szCs w:val="28"/>
        </w:rPr>
        <w:t>罐体破裂或物料泄漏：应立即关闭雨水排放口的阀门，将泄漏物料控制在围堰内，防治流入周围土壤造成污染。如果罐体泄漏点位置较低，或罐体侧阀破裂引起泄漏，则应组织临时倒灌措施，及抢运罐内存余物料。</w:t>
      </w:r>
    </w:p>
    <w:p>
      <w:pPr>
        <w:pStyle w:val="95"/>
        <w:spacing w:line="520" w:lineRule="exact"/>
        <w:ind w:firstLine="562"/>
        <w:rPr>
          <w:rFonts w:eastAsia="仿宋"/>
          <w:b w:val="0"/>
          <w:bCs w:val="0"/>
          <w:sz w:val="28"/>
          <w:szCs w:val="28"/>
        </w:rPr>
      </w:pPr>
      <w:r>
        <w:rPr>
          <w:rFonts w:ascii="仿宋" w:hAnsi="仿宋" w:eastAsia="仿宋"/>
          <w:b w:val="0"/>
          <w:bCs w:val="0"/>
          <w:sz w:val="28"/>
          <w:szCs w:val="28"/>
        </w:rPr>
        <w:t>④</w:t>
      </w:r>
      <w:r>
        <w:rPr>
          <w:rFonts w:hAnsi="仿宋" w:eastAsia="仿宋"/>
          <w:b w:val="0"/>
          <w:bCs w:val="0"/>
          <w:sz w:val="28"/>
          <w:szCs w:val="28"/>
        </w:rPr>
        <w:t>设备故障事故：物料暂时储存或向事故排放部分排放，并停止入料，转入停</w:t>
      </w:r>
      <w:r>
        <w:rPr>
          <w:rFonts w:hint="eastAsia" w:hAnsi="仿宋" w:eastAsia="仿宋"/>
          <w:b w:val="0"/>
          <w:bCs w:val="0"/>
          <w:sz w:val="28"/>
          <w:szCs w:val="28"/>
        </w:rPr>
        <w:t>工</w:t>
      </w:r>
      <w:r>
        <w:rPr>
          <w:rFonts w:hAnsi="仿宋" w:eastAsia="仿宋"/>
          <w:b w:val="0"/>
          <w:bCs w:val="0"/>
          <w:sz w:val="28"/>
          <w:szCs w:val="28"/>
        </w:rPr>
        <w:t>的状态，并使岗位的阀门处于</w:t>
      </w:r>
      <w:r>
        <w:rPr>
          <w:rFonts w:hint="eastAsia" w:hAnsi="仿宋" w:eastAsia="仿宋"/>
          <w:b w:val="0"/>
          <w:bCs w:val="0"/>
          <w:sz w:val="28"/>
          <w:szCs w:val="28"/>
        </w:rPr>
        <w:t>关闭</w:t>
      </w:r>
      <w:r>
        <w:rPr>
          <w:rFonts w:hAnsi="仿宋" w:eastAsia="仿宋"/>
          <w:b w:val="0"/>
          <w:bCs w:val="0"/>
          <w:sz w:val="28"/>
          <w:szCs w:val="28"/>
        </w:rPr>
        <w:t>状态，不要进入下一</w:t>
      </w:r>
      <w:r>
        <w:rPr>
          <w:rFonts w:hint="eastAsia" w:hAnsi="仿宋" w:eastAsia="仿宋"/>
          <w:b w:val="0"/>
          <w:bCs w:val="0"/>
          <w:sz w:val="28"/>
          <w:szCs w:val="28"/>
        </w:rPr>
        <w:t>工艺</w:t>
      </w:r>
      <w:r>
        <w:rPr>
          <w:rFonts w:hAnsi="仿宋" w:eastAsia="仿宋"/>
          <w:b w:val="0"/>
          <w:bCs w:val="0"/>
          <w:sz w:val="28"/>
          <w:szCs w:val="28"/>
        </w:rPr>
        <w:t>。</w:t>
      </w:r>
    </w:p>
    <w:p>
      <w:pPr>
        <w:pStyle w:val="95"/>
        <w:spacing w:line="520" w:lineRule="exact"/>
        <w:ind w:firstLine="562"/>
        <w:rPr>
          <w:rFonts w:eastAsia="仿宋"/>
          <w:b w:val="0"/>
          <w:bCs w:val="0"/>
          <w:sz w:val="28"/>
          <w:szCs w:val="28"/>
        </w:rPr>
      </w:pPr>
      <w:r>
        <w:rPr>
          <w:rFonts w:ascii="仿宋" w:hAnsi="仿宋" w:eastAsia="仿宋"/>
          <w:b w:val="0"/>
          <w:bCs w:val="0"/>
          <w:sz w:val="28"/>
          <w:szCs w:val="28"/>
        </w:rPr>
        <w:t>⑤</w:t>
      </w:r>
      <w:r>
        <w:rPr>
          <w:rFonts w:hAnsi="仿宋" w:eastAsia="仿宋"/>
          <w:b w:val="0"/>
          <w:bCs w:val="0"/>
          <w:sz w:val="28"/>
          <w:szCs w:val="28"/>
        </w:rPr>
        <w:t>实施防火保护和消防监控</w:t>
      </w:r>
    </w:p>
    <w:p>
      <w:pPr>
        <w:pStyle w:val="95"/>
        <w:spacing w:line="520" w:lineRule="exact"/>
        <w:ind w:firstLine="562"/>
        <w:rPr>
          <w:rFonts w:eastAsia="仿宋"/>
          <w:b w:val="0"/>
          <w:bCs w:val="0"/>
          <w:sz w:val="28"/>
          <w:szCs w:val="28"/>
        </w:rPr>
      </w:pPr>
      <w:r>
        <w:rPr>
          <w:rFonts w:hAnsi="仿宋" w:eastAsia="仿宋"/>
          <w:b w:val="0"/>
          <w:bCs w:val="0"/>
          <w:sz w:val="28"/>
          <w:szCs w:val="28"/>
        </w:rPr>
        <w:t>事故发生后，在应急指挥小组的指挥下，厂区内实行戒严，视事故影响波及范围和严重程度确定哪些</w:t>
      </w:r>
      <w:r>
        <w:rPr>
          <w:rFonts w:hint="eastAsia" w:hAnsi="仿宋" w:eastAsia="仿宋"/>
          <w:b w:val="0"/>
          <w:bCs w:val="0"/>
          <w:sz w:val="28"/>
          <w:szCs w:val="28"/>
        </w:rPr>
        <w:t>操作</w:t>
      </w:r>
      <w:r>
        <w:rPr>
          <w:rFonts w:hAnsi="仿宋" w:eastAsia="仿宋"/>
          <w:b w:val="0"/>
          <w:bCs w:val="0"/>
          <w:sz w:val="28"/>
          <w:szCs w:val="28"/>
        </w:rPr>
        <w:t>停止作业，实行全厂防火保护，公司消防组实施消防监护。</w:t>
      </w:r>
    </w:p>
    <w:p>
      <w:pPr>
        <w:pStyle w:val="95"/>
        <w:spacing w:line="520" w:lineRule="exact"/>
        <w:ind w:firstLine="562"/>
        <w:rPr>
          <w:rFonts w:eastAsia="仿宋"/>
          <w:b w:val="0"/>
          <w:bCs w:val="0"/>
          <w:sz w:val="28"/>
          <w:szCs w:val="28"/>
        </w:rPr>
      </w:pPr>
      <w:r>
        <w:rPr>
          <w:rFonts w:ascii="仿宋" w:hAnsi="仿宋" w:eastAsia="仿宋"/>
          <w:b w:val="0"/>
          <w:bCs w:val="0"/>
          <w:sz w:val="28"/>
          <w:szCs w:val="28"/>
        </w:rPr>
        <w:t>⑥</w:t>
      </w:r>
      <w:r>
        <w:rPr>
          <w:rFonts w:hAnsi="仿宋" w:eastAsia="仿宋"/>
          <w:b w:val="0"/>
          <w:bCs w:val="0"/>
          <w:sz w:val="28"/>
          <w:szCs w:val="28"/>
        </w:rPr>
        <w:t>实施现场物资紧急疏散与电气运行控制</w:t>
      </w:r>
    </w:p>
    <w:p>
      <w:pPr>
        <w:pStyle w:val="95"/>
        <w:spacing w:line="520" w:lineRule="exact"/>
        <w:ind w:firstLine="562"/>
        <w:rPr>
          <w:rFonts w:eastAsia="仿宋"/>
          <w:b w:val="0"/>
          <w:bCs w:val="0"/>
          <w:sz w:val="28"/>
          <w:szCs w:val="28"/>
        </w:rPr>
      </w:pPr>
      <w:r>
        <w:rPr>
          <w:rFonts w:hAnsi="仿宋" w:eastAsia="仿宋"/>
          <w:b w:val="0"/>
          <w:bCs w:val="0"/>
          <w:sz w:val="28"/>
          <w:szCs w:val="28"/>
        </w:rPr>
        <w:t>事故发生后，在应急指挥小组的指挥下，执行实施重要设备紧急关闭，及时疏散受火灾爆炸威胁的邻近可燃物品。</w:t>
      </w:r>
      <w:r>
        <w:rPr>
          <w:rFonts w:hint="eastAsia" w:hAnsi="仿宋" w:eastAsia="仿宋"/>
          <w:b w:val="0"/>
          <w:bCs w:val="0"/>
          <w:sz w:val="28"/>
          <w:szCs w:val="28"/>
        </w:rPr>
        <w:t>公司成员</w:t>
      </w:r>
      <w:r>
        <w:rPr>
          <w:rFonts w:hAnsi="仿宋" w:eastAsia="仿宋"/>
          <w:b w:val="0"/>
          <w:bCs w:val="0"/>
          <w:sz w:val="28"/>
          <w:szCs w:val="28"/>
        </w:rPr>
        <w:t>根据指挥小组的命令，实施事故应急供电或切除部分电气运行。</w:t>
      </w:r>
    </w:p>
    <w:p>
      <w:pPr>
        <w:pStyle w:val="8"/>
        <w:tabs>
          <w:tab w:val="clear" w:pos="425"/>
        </w:tabs>
        <w:spacing w:line="520" w:lineRule="exact"/>
        <w:ind w:left="0" w:firstLine="0"/>
        <w:rPr>
          <w:rFonts w:hAnsi="仿宋" w:eastAsia="仿宋"/>
          <w:sz w:val="28"/>
          <w:szCs w:val="28"/>
        </w:rPr>
      </w:pPr>
      <w:r>
        <w:rPr>
          <w:rFonts w:hAnsi="仿宋" w:eastAsia="仿宋"/>
          <w:sz w:val="28"/>
          <w:szCs w:val="28"/>
        </w:rPr>
        <w:t>员工紧急疏散和撤离应急措施</w:t>
      </w:r>
    </w:p>
    <w:p>
      <w:pPr>
        <w:pStyle w:val="95"/>
        <w:spacing w:line="520" w:lineRule="exact"/>
        <w:ind w:firstLine="562"/>
        <w:rPr>
          <w:rFonts w:eastAsia="仿宋"/>
          <w:b w:val="0"/>
          <w:bCs w:val="0"/>
          <w:sz w:val="28"/>
          <w:szCs w:val="28"/>
        </w:rPr>
      </w:pPr>
      <w:r>
        <w:rPr>
          <w:rFonts w:hAnsi="仿宋" w:eastAsia="仿宋"/>
          <w:b w:val="0"/>
          <w:bCs w:val="0"/>
          <w:sz w:val="28"/>
          <w:szCs w:val="28"/>
        </w:rPr>
        <w:t>事故应急救援治安队到达事故现场后，听从现场指挥安排，对可能发生危险化学品事故场所、设施及周围情况依据现场环境监测结果引导和疏散现场无关人员至安全区域。在疏散撤离过程中小组成员根据预案要求的疏散、撤离方式</w:t>
      </w:r>
      <w:r>
        <w:rPr>
          <w:rFonts w:hint="eastAsia" w:hAnsi="仿宋" w:eastAsia="仿宋"/>
          <w:b w:val="0"/>
          <w:bCs w:val="0"/>
          <w:sz w:val="28"/>
          <w:szCs w:val="28"/>
        </w:rPr>
        <w:t>和</w:t>
      </w:r>
      <w:r>
        <w:rPr>
          <w:rFonts w:hAnsi="仿宋" w:eastAsia="仿宋"/>
          <w:b w:val="0"/>
          <w:bCs w:val="0"/>
          <w:sz w:val="28"/>
          <w:szCs w:val="28"/>
        </w:rPr>
        <w:t>方法，要做的主要工作有：</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1</w:t>
      </w:r>
      <w:r>
        <w:rPr>
          <w:rFonts w:hAnsi="仿宋" w:eastAsia="仿宋"/>
          <w:b w:val="0"/>
          <w:bCs w:val="0"/>
          <w:sz w:val="28"/>
          <w:szCs w:val="28"/>
        </w:rPr>
        <w:t>）清点事故现场人员是否为事故发生前人数；</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2</w:t>
      </w:r>
      <w:r>
        <w:rPr>
          <w:rFonts w:hAnsi="仿宋" w:eastAsia="仿宋"/>
          <w:b w:val="0"/>
          <w:bCs w:val="0"/>
          <w:sz w:val="28"/>
          <w:szCs w:val="28"/>
        </w:rPr>
        <w:t>）紧急疏散非事故现场人员至安全区；</w:t>
      </w:r>
    </w:p>
    <w:p>
      <w:pPr>
        <w:pStyle w:val="95"/>
        <w:spacing w:line="520" w:lineRule="exact"/>
        <w:ind w:firstLine="562"/>
        <w:rPr>
          <w:rFonts w:eastAsia="仿宋"/>
          <w:b w:val="0"/>
          <w:bCs w:val="0"/>
          <w:sz w:val="28"/>
          <w:szCs w:val="28"/>
        </w:rPr>
      </w:pPr>
      <w:r>
        <w:rPr>
          <w:rFonts w:hAnsi="仿宋" w:eastAsia="仿宋"/>
          <w:b w:val="0"/>
          <w:bCs w:val="0"/>
          <w:sz w:val="28"/>
          <w:szCs w:val="28"/>
        </w:rPr>
        <w:t>（</w:t>
      </w:r>
      <w:r>
        <w:rPr>
          <w:rFonts w:eastAsia="仿宋"/>
          <w:b w:val="0"/>
          <w:bCs w:val="0"/>
          <w:sz w:val="28"/>
          <w:szCs w:val="28"/>
        </w:rPr>
        <w:t>3</w:t>
      </w:r>
      <w:r>
        <w:rPr>
          <w:rFonts w:hAnsi="仿宋" w:eastAsia="仿宋"/>
          <w:b w:val="0"/>
          <w:bCs w:val="0"/>
          <w:sz w:val="28"/>
          <w:szCs w:val="28"/>
        </w:rPr>
        <w:t>）</w:t>
      </w:r>
      <w:r>
        <w:rPr>
          <w:rFonts w:hint="eastAsia" w:hAnsi="仿宋" w:eastAsia="仿宋"/>
          <w:b w:val="0"/>
          <w:bCs w:val="0"/>
          <w:sz w:val="28"/>
          <w:szCs w:val="28"/>
        </w:rPr>
        <w:t>做</w:t>
      </w:r>
      <w:r>
        <w:rPr>
          <w:rFonts w:hAnsi="仿宋" w:eastAsia="仿宋"/>
          <w:b w:val="0"/>
          <w:bCs w:val="0"/>
          <w:sz w:val="28"/>
          <w:szCs w:val="28"/>
        </w:rPr>
        <w:t>出抢救人员撤离前、撤离后报告；</w:t>
      </w:r>
    </w:p>
    <w:p>
      <w:pPr>
        <w:pStyle w:val="95"/>
        <w:spacing w:line="520" w:lineRule="exact"/>
        <w:ind w:firstLine="562"/>
        <w:rPr>
          <w:rFonts w:eastAsia="仿宋"/>
          <w:sz w:val="28"/>
          <w:szCs w:val="28"/>
        </w:rPr>
      </w:pPr>
      <w:r>
        <w:rPr>
          <w:rFonts w:hAnsi="仿宋" w:eastAsia="仿宋"/>
          <w:b w:val="0"/>
          <w:bCs w:val="0"/>
          <w:sz w:val="28"/>
          <w:szCs w:val="28"/>
        </w:rPr>
        <w:t>（</w:t>
      </w:r>
      <w:r>
        <w:rPr>
          <w:rFonts w:eastAsia="仿宋"/>
          <w:b w:val="0"/>
          <w:bCs w:val="0"/>
          <w:sz w:val="28"/>
          <w:szCs w:val="28"/>
        </w:rPr>
        <w:t>4</w:t>
      </w:r>
      <w:r>
        <w:rPr>
          <w:rFonts w:hAnsi="仿宋" w:eastAsia="仿宋"/>
          <w:b w:val="0"/>
          <w:bCs w:val="0"/>
          <w:sz w:val="28"/>
          <w:szCs w:val="28"/>
        </w:rPr>
        <w:t>）通知周边区域单位、社区人员疏散撤离并告知方式</w:t>
      </w:r>
      <w:r>
        <w:rPr>
          <w:rFonts w:hint="eastAsia" w:hAnsi="仿宋" w:eastAsia="仿宋"/>
          <w:b w:val="0"/>
          <w:bCs w:val="0"/>
          <w:sz w:val="28"/>
          <w:szCs w:val="28"/>
          <w:lang w:eastAsia="zh-CN"/>
        </w:rPr>
        <w:t>和</w:t>
      </w:r>
      <w:r>
        <w:rPr>
          <w:rFonts w:hAnsi="仿宋" w:eastAsia="仿宋"/>
          <w:b w:val="0"/>
          <w:bCs w:val="0"/>
          <w:sz w:val="28"/>
          <w:szCs w:val="28"/>
        </w:rPr>
        <w:t>方法。</w:t>
      </w:r>
    </w:p>
    <w:p>
      <w:pPr>
        <w:pStyle w:val="8"/>
        <w:tabs>
          <w:tab w:val="clear" w:pos="425"/>
        </w:tabs>
        <w:spacing w:line="520" w:lineRule="exact"/>
        <w:ind w:left="0" w:firstLine="0"/>
        <w:rPr>
          <w:rFonts w:eastAsia="仿宋"/>
          <w:sz w:val="28"/>
          <w:szCs w:val="28"/>
        </w:rPr>
      </w:pPr>
      <w:r>
        <w:rPr>
          <w:rFonts w:hAnsi="仿宋" w:eastAsia="仿宋"/>
          <w:sz w:val="28"/>
          <w:szCs w:val="28"/>
        </w:rPr>
        <w:t>危险区的隔离应急措施</w:t>
      </w:r>
    </w:p>
    <w:p>
      <w:pPr>
        <w:pStyle w:val="95"/>
        <w:spacing w:line="520" w:lineRule="exact"/>
        <w:ind w:firstLine="562"/>
        <w:jc w:val="both"/>
        <w:rPr>
          <w:rFonts w:eastAsia="仿宋"/>
          <w:b w:val="0"/>
          <w:bCs w:val="0"/>
          <w:sz w:val="28"/>
          <w:szCs w:val="28"/>
        </w:rPr>
      </w:pPr>
      <w:r>
        <w:rPr>
          <w:rFonts w:hAnsi="仿宋" w:eastAsia="仿宋"/>
          <w:b w:val="0"/>
          <w:bCs w:val="0"/>
          <w:sz w:val="28"/>
          <w:szCs w:val="28"/>
        </w:rPr>
        <w:t>事故应急救援治安队根据事故和火灾的情况和指挥部的要求设定紧急隔离危险区的距离，紧急隔离危险区边界警戒线为黄黑带，划分疏散区、下风向疏散区，担负治安和组织纠察，在事故现场周围设防，加强警戒和巡逻；对在紧急隔离危险区内的交通道路进行管制，劝服通行车辆和人员绕道而行。</w:t>
      </w:r>
    </w:p>
    <w:p>
      <w:pPr>
        <w:pStyle w:val="8"/>
        <w:tabs>
          <w:tab w:val="clear" w:pos="425"/>
        </w:tabs>
        <w:spacing w:line="520" w:lineRule="exact"/>
        <w:ind w:left="0" w:firstLine="0"/>
        <w:rPr>
          <w:rFonts w:eastAsia="仿宋"/>
          <w:sz w:val="28"/>
          <w:szCs w:val="28"/>
        </w:rPr>
      </w:pPr>
      <w:r>
        <w:rPr>
          <w:rFonts w:hAnsi="仿宋" w:eastAsia="仿宋"/>
          <w:sz w:val="28"/>
          <w:szCs w:val="28"/>
        </w:rPr>
        <w:t>受伤人员医疗救治应急措施</w:t>
      </w:r>
    </w:p>
    <w:p>
      <w:pPr>
        <w:pStyle w:val="95"/>
        <w:spacing w:line="520" w:lineRule="exact"/>
        <w:ind w:firstLine="562"/>
        <w:rPr>
          <w:rFonts w:hAnsi="仿宋" w:eastAsia="仿宋"/>
          <w:b w:val="0"/>
          <w:bCs w:val="0"/>
          <w:sz w:val="28"/>
          <w:szCs w:val="28"/>
        </w:rPr>
      </w:pPr>
      <w:r>
        <w:rPr>
          <w:rFonts w:hAnsi="仿宋" w:eastAsia="仿宋"/>
          <w:b w:val="0"/>
          <w:bCs w:val="0"/>
          <w:sz w:val="28"/>
          <w:szCs w:val="28"/>
        </w:rPr>
        <w:t>医疗救护队到达事故现场后，首先向装置负责人、事故现场指挥负责人询问事故现场已核实人员数量与在岗作业总人数情况，查明现场有无受伤或中毒人员，迅速使用担架将受伤或中毒人员脱离事故现场，按照受伤的不同程度或危险化学品的化学性质使用随身携带的药物、器具开展快速紧急救治，然后迅速将受伤或中毒人员送往急救中心医院进行专业救治救护，向医院抢救人员提供受伤或中毒者的在事故现场或来医院的途中的救治措施、目前情况及接触的危险化学品的化学性质。</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人员的疏散和撤离</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（1）撤离方式</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事故现场人员向上风或侧向风方向转移，负责疏散、撤离的后勤供应小组负责引导和护送疏散人群到安全区，由部门主管并逐一清点人数。在疏散和撤离的路线上可设立指示牌，指明方向，人员不要在低洼处滞留；要查清是否有人留在泄漏区或污染区。如有未及时撤离人员，应由配戴适宜防护装备的抢险队员两人进入现场搜寻，并实施救助。</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当事故威胁到周边地区的群众时，及时向宜昌市</w:t>
      </w:r>
      <w:r>
        <w:rPr>
          <w:rFonts w:hint="eastAsia" w:hAnsi="仿宋" w:eastAsia="仿宋"/>
          <w:b w:val="0"/>
          <w:bCs w:val="0"/>
          <w:sz w:val="28"/>
          <w:szCs w:val="28"/>
          <w:lang w:eastAsia="zh-CN"/>
        </w:rPr>
        <w:t>远安县</w:t>
      </w:r>
      <w:r>
        <w:rPr>
          <w:rFonts w:hint="eastAsia" w:hAnsi="仿宋" w:eastAsia="仿宋"/>
          <w:b w:val="0"/>
          <w:bCs w:val="0"/>
          <w:sz w:val="28"/>
          <w:szCs w:val="28"/>
        </w:rPr>
        <w:t>政府、宜昌市生态环境局</w:t>
      </w:r>
      <w:r>
        <w:rPr>
          <w:rFonts w:hint="eastAsia" w:hAnsi="仿宋" w:eastAsia="仿宋"/>
          <w:b w:val="0"/>
          <w:bCs w:val="0"/>
          <w:sz w:val="28"/>
          <w:szCs w:val="28"/>
          <w:lang w:eastAsia="zh-CN"/>
        </w:rPr>
        <w:t>远安县</w:t>
      </w:r>
      <w:r>
        <w:rPr>
          <w:rFonts w:hint="eastAsia" w:hAnsi="仿宋" w:eastAsia="仿宋"/>
          <w:b w:val="0"/>
          <w:bCs w:val="0"/>
          <w:sz w:val="28"/>
          <w:szCs w:val="28"/>
        </w:rPr>
        <w:t>分局等报告，由公安、街道组织抽调力量负责组织实施。</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（2）撤离路线描述</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依据发生事故的场所，设施及周围情况、发生事故化学品的性质和危害程度，以及当时的风向等气象情况由应急指挥部确定疏散、撤离路线。一般情况下向厂区大门口撤离。</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（3）非事故现场人员疏散</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对于外来人员（例如供应商、客户）的清点，具体可由值班室处的进出人员记录查询，然后再询问接待人外来人员的去向，通知外来人员到厂门口（厂门口位于当天主导风向下风向除外）集合，然后将外来人员运送至远离现场的安全地点。</w:t>
      </w:r>
    </w:p>
    <w:p>
      <w:pPr>
        <w:pStyle w:val="6"/>
        <w:spacing w:before="0" w:beforeAutospacing="0" w:line="520" w:lineRule="exact"/>
        <w:ind w:left="0" w:firstLine="0"/>
        <w:rPr>
          <w:rFonts w:hAnsi="仿宋" w:eastAsia="仿宋"/>
        </w:rPr>
      </w:pPr>
      <w:bookmarkStart w:id="102" w:name="_Toc23916"/>
      <w:r>
        <w:rPr>
          <w:rFonts w:hint="eastAsia" w:hAnsi="仿宋" w:eastAsia="仿宋"/>
        </w:rPr>
        <w:t>应急监测</w:t>
      </w:r>
      <w:bookmarkEnd w:id="102"/>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事态监测与评估在应急决策中起着重要作用。事故状态下的监测方案，包括监测泄漏、压力集聚情况，气体发生的情况，阀门、管道或其他装置的破裂情况，以及污染物的排放情况等。有关信息必须提供给应急人员，以确定选择合适的应急装备和个人防护设施。</w:t>
      </w:r>
    </w:p>
    <w:p>
      <w:pPr>
        <w:pStyle w:val="95"/>
        <w:spacing w:line="520" w:lineRule="exact"/>
        <w:ind w:firstLine="562"/>
        <w:rPr>
          <w:rFonts w:hint="eastAsia" w:hAnsi="仿宋" w:eastAsia="仿宋"/>
          <w:b w:val="0"/>
          <w:bCs w:val="0"/>
          <w:sz w:val="28"/>
          <w:szCs w:val="28"/>
        </w:rPr>
      </w:pPr>
      <w:r>
        <w:rPr>
          <w:rFonts w:hint="eastAsia" w:hAnsi="仿宋" w:eastAsia="仿宋"/>
          <w:b w:val="0"/>
          <w:bCs w:val="0"/>
          <w:sz w:val="28"/>
          <w:szCs w:val="28"/>
        </w:rPr>
        <w:t>发生事故以后，组织应急监测组及时检测分析现场环境的易燃易爆气体浓度，提供可靠的技术参数，分析事故的原因和特点，根据发生事故的类型和现场检测的数据，采取相应的对策措施。现场由总指挥统一调配，密切配合公安消防部门进行抢救，严禁冒险蛮干。努力争取在事故发生的初期阶段控制住险情，如事故可能扩大，应立即上报政府部门，请求增援。</w:t>
      </w:r>
    </w:p>
    <w:p>
      <w:pPr>
        <w:pStyle w:val="8"/>
        <w:tabs>
          <w:tab w:val="clear" w:pos="425"/>
        </w:tabs>
        <w:spacing w:line="520" w:lineRule="exact"/>
        <w:ind w:left="0" w:firstLine="0"/>
        <w:rPr>
          <w:rFonts w:hint="eastAsia" w:hAnsi="仿宋" w:eastAsia="仿宋"/>
          <w:color w:val="FF0000"/>
          <w:sz w:val="28"/>
          <w:szCs w:val="28"/>
        </w:rPr>
      </w:pPr>
      <w:r>
        <w:rPr>
          <w:rFonts w:hint="eastAsia" w:hAnsi="仿宋" w:eastAsia="仿宋"/>
          <w:color w:val="FF0000"/>
          <w:sz w:val="28"/>
          <w:szCs w:val="28"/>
        </w:rPr>
        <w:t>应急监测启动及工作原则</w:t>
      </w:r>
    </w:p>
    <w:p>
      <w:pPr>
        <w:pStyle w:val="9"/>
        <w:spacing w:before="0" w:after="0" w:line="520" w:lineRule="exact"/>
        <w:ind w:left="0" w:firstLine="0"/>
        <w:rPr>
          <w:rFonts w:hint="eastAsia" w:hAnsi="仿宋" w:eastAsia="仿宋"/>
          <w:color w:val="FF0000"/>
        </w:rPr>
      </w:pPr>
      <w:r>
        <w:rPr>
          <w:rFonts w:hint="eastAsia" w:hAnsi="仿宋" w:eastAsia="仿宋"/>
          <w:color w:val="FF0000"/>
        </w:rPr>
        <w:t>及时性</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rPr>
        <w:t>接到应急响应指令时，应做好相应记录并立即启动应急监测预案，开展应急监测工作。</w:t>
      </w:r>
    </w:p>
    <w:p>
      <w:pPr>
        <w:pStyle w:val="9"/>
        <w:spacing w:before="0" w:after="0" w:line="520" w:lineRule="exact"/>
        <w:ind w:left="0" w:firstLine="0"/>
        <w:rPr>
          <w:rFonts w:hint="eastAsia" w:hAnsi="仿宋" w:eastAsia="仿宋"/>
          <w:color w:val="FF0000"/>
        </w:rPr>
      </w:pPr>
      <w:r>
        <w:rPr>
          <w:rFonts w:hint="eastAsia" w:hAnsi="仿宋" w:eastAsia="仿宋"/>
          <w:color w:val="FF0000"/>
        </w:rPr>
        <w:t>可行性</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rPr>
        <w:t>突发环境事件发生后，应急监测队伍应立即按照相关预案，在确保安全的前提下，开展应急监测工作。突发环境事件应急监测预案内容包括但不限于总则、组织体系、应急程序、保障措施、附则、附件等部分，具体内容由生态环境监测机构根据自身组织管理方式细化。</w:t>
      </w:r>
    </w:p>
    <w:p>
      <w:pPr>
        <w:pStyle w:val="9"/>
        <w:spacing w:before="0" w:after="0" w:line="520" w:lineRule="exact"/>
        <w:ind w:left="0" w:firstLine="0"/>
        <w:rPr>
          <w:rFonts w:hint="eastAsia" w:hAnsi="仿宋" w:eastAsia="仿宋"/>
          <w:color w:val="FF0000"/>
        </w:rPr>
      </w:pPr>
      <w:r>
        <w:rPr>
          <w:rFonts w:hint="eastAsia" w:hAnsi="仿宋" w:eastAsia="仿宋"/>
          <w:color w:val="FF0000"/>
        </w:rPr>
        <w:t>代表性</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rPr>
        <w:t>开展应急监测工作，应尽可能以足够的时空代表性的监测结果，尽快为突发环境事件应急决策提供可靠依据。在污染态势初步判别阶段，应以第一时间确定污染物种类、监测项目、大致污染范围及程度为工作原则；在跟踪监测阶段，应以快速获取污染物浓度及其动态变化信息为工作原则。</w:t>
      </w:r>
    </w:p>
    <w:p>
      <w:pPr>
        <w:pStyle w:val="8"/>
        <w:tabs>
          <w:tab w:val="clear" w:pos="425"/>
        </w:tabs>
        <w:spacing w:line="520" w:lineRule="exact"/>
        <w:ind w:left="0" w:firstLine="0"/>
        <w:rPr>
          <w:rFonts w:hint="eastAsia" w:hAnsi="仿宋" w:eastAsia="仿宋"/>
          <w:color w:val="FF0000"/>
          <w:sz w:val="28"/>
          <w:szCs w:val="28"/>
        </w:rPr>
      </w:pPr>
      <w:r>
        <w:rPr>
          <w:rFonts w:hint="eastAsia" w:hAnsi="仿宋" w:eastAsia="仿宋"/>
          <w:color w:val="FF0000"/>
          <w:sz w:val="28"/>
          <w:szCs w:val="28"/>
        </w:rPr>
        <w:t>现场调查</w:t>
      </w:r>
    </w:p>
    <w:p>
      <w:pPr>
        <w:pStyle w:val="9"/>
        <w:spacing w:before="0" w:after="0" w:line="520" w:lineRule="exact"/>
        <w:ind w:left="0" w:firstLine="0"/>
        <w:rPr>
          <w:rFonts w:hint="eastAsia" w:hAnsi="仿宋" w:eastAsia="仿宋"/>
          <w:color w:val="FF0000"/>
        </w:rPr>
      </w:pPr>
      <w:r>
        <w:rPr>
          <w:rFonts w:hint="eastAsia" w:hAnsi="仿宋" w:eastAsia="仿宋"/>
          <w:color w:val="FF0000"/>
        </w:rPr>
        <w:t>现场调查原则</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rPr>
        <w:t>迅速通过各种渠道搜集突发环境事件相关信息，初步了解污染物种类、污染状况及可能的污染范围及程度。</w:t>
      </w:r>
    </w:p>
    <w:p>
      <w:pPr>
        <w:pStyle w:val="9"/>
        <w:spacing w:before="0" w:after="0" w:line="520" w:lineRule="exact"/>
        <w:ind w:left="0" w:firstLine="0"/>
        <w:rPr>
          <w:rFonts w:hint="eastAsia" w:hAnsi="仿宋" w:eastAsia="仿宋"/>
          <w:color w:val="FF0000"/>
        </w:rPr>
      </w:pPr>
      <w:r>
        <w:rPr>
          <w:rFonts w:hint="eastAsia" w:hAnsi="仿宋" w:eastAsia="仿宋"/>
          <w:color w:val="FF0000"/>
        </w:rPr>
        <w:t>现场调查内容</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rPr>
        <w:t>现场调查可包括如下内容：</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rPr>
        <w:t>事件发生的时间和地点，必要的水文气象及地质等参数，可能存在的污染物名称及排放量，污染物影响范围，周围是否有敏感点，可能受影响的环境要素及其功能区划等；污染物特性的简要说明；其他相关信息（如盛放有毒有害污染物的容器、标签等信息）。</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rPr>
        <w:t>《突发环境事件应急监测现场调查信息表》参见</w:t>
      </w:r>
      <w:r>
        <w:rPr>
          <w:rFonts w:hint="eastAsia" w:hAnsi="仿宋" w:eastAsia="仿宋"/>
          <w:b w:val="0"/>
          <w:bCs w:val="0"/>
          <w:color w:val="FF0000"/>
          <w:sz w:val="28"/>
          <w:szCs w:val="28"/>
          <w:lang w:eastAsia="zh-CN"/>
        </w:rPr>
        <w:t>下表</w:t>
      </w:r>
      <w:r>
        <w:rPr>
          <w:rFonts w:hint="eastAsia" w:hAnsi="仿宋" w:eastAsia="仿宋"/>
          <w:b w:val="0"/>
          <w:bCs w:val="0"/>
          <w:color w:val="FF0000"/>
          <w:sz w:val="28"/>
          <w:szCs w:val="28"/>
        </w:rPr>
        <w:t>。</w:t>
      </w:r>
    </w:p>
    <w:p>
      <w:pPr>
        <w:pStyle w:val="32"/>
        <w:spacing w:line="240" w:lineRule="auto"/>
        <w:rPr>
          <w:rFonts w:hint="eastAsia" w:eastAsia="仿宋"/>
          <w:b w:val="0"/>
          <w:bCs w:val="0"/>
          <w:snapToGrid/>
          <w:color w:val="FF0000"/>
          <w:kern w:val="2"/>
          <w:sz w:val="28"/>
          <w:szCs w:val="28"/>
        </w:rPr>
      </w:pPr>
      <w:r>
        <w:rPr>
          <w:rFonts w:hint="eastAsia" w:eastAsia="仿宋"/>
          <w:b w:val="0"/>
          <w:bCs w:val="0"/>
          <w:snapToGrid/>
          <w:color w:val="FF0000"/>
          <w:kern w:val="2"/>
          <w:sz w:val="28"/>
          <w:szCs w:val="28"/>
        </w:rPr>
        <w:t>表</w:t>
      </w:r>
      <w:r>
        <w:rPr>
          <w:rFonts w:hint="eastAsia" w:eastAsia="仿宋"/>
          <w:b w:val="0"/>
          <w:bCs w:val="0"/>
          <w:snapToGrid/>
          <w:color w:val="FF0000"/>
          <w:kern w:val="2"/>
          <w:sz w:val="28"/>
          <w:szCs w:val="28"/>
          <w:lang w:val="en-US" w:eastAsia="zh-CN"/>
        </w:rPr>
        <w:t xml:space="preserve">7.6-1  </w:t>
      </w:r>
      <w:r>
        <w:rPr>
          <w:rFonts w:hint="eastAsia" w:eastAsia="仿宋"/>
          <w:b w:val="0"/>
          <w:bCs w:val="0"/>
          <w:snapToGrid/>
          <w:color w:val="FF0000"/>
          <w:kern w:val="2"/>
          <w:sz w:val="28"/>
          <w:szCs w:val="28"/>
        </w:rPr>
        <w:t>突发环境事件应急监测现场调查信息表</w:t>
      </w:r>
    </w:p>
    <w:tbl>
      <w:tblPr>
        <w:tblStyle w:val="35"/>
        <w:tblW w:w="4998" w:type="pct"/>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1363"/>
        <w:gridCol w:w="2635"/>
        <w:gridCol w:w="1135"/>
        <w:gridCol w:w="3386"/>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800"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jc w:val="both"/>
              <w:textAlignment w:val="auto"/>
              <w:rPr>
                <w:rFonts w:hint="default" w:ascii="Times New Roman" w:hAnsi="Times New Roman" w:eastAsia="仿宋" w:cs="Times New Roman"/>
                <w:b/>
                <w:bCs/>
                <w:color w:val="FF0000"/>
                <w:sz w:val="22"/>
                <w:szCs w:val="22"/>
              </w:rPr>
            </w:pPr>
            <w:r>
              <w:rPr>
                <w:rFonts w:hint="default" w:ascii="Times New Roman" w:hAnsi="Times New Roman" w:eastAsia="仿宋" w:cs="Times New Roman"/>
                <w:b/>
                <w:bCs/>
                <w:color w:val="FF0000"/>
                <w:sz w:val="22"/>
                <w:szCs w:val="22"/>
              </w:rPr>
              <w:t>单位名称</w:t>
            </w:r>
          </w:p>
        </w:tc>
        <w:tc>
          <w:tcPr>
            <w:tcW w:w="4199" w:type="pct"/>
            <w:gridSpan w:val="3"/>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800" w:type="pct"/>
            <w:vMerge w:val="restar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jc w:val="both"/>
              <w:textAlignment w:val="auto"/>
              <w:rPr>
                <w:rFonts w:hint="default" w:ascii="Times New Roman" w:hAnsi="Times New Roman" w:eastAsia="仿宋" w:cs="Times New Roman"/>
                <w:b/>
                <w:bCs/>
                <w:color w:val="FF0000"/>
                <w:sz w:val="22"/>
                <w:szCs w:val="22"/>
              </w:rPr>
            </w:pPr>
            <w:r>
              <w:rPr>
                <w:rFonts w:hint="default" w:ascii="Times New Roman" w:hAnsi="Times New Roman" w:eastAsia="仿宋" w:cs="Times New Roman"/>
                <w:b/>
                <w:bCs/>
                <w:color w:val="FF0000"/>
                <w:sz w:val="22"/>
                <w:szCs w:val="22"/>
              </w:rPr>
              <w:t>突发环境事件地点（如涉水需明确水体名称）</w:t>
            </w:r>
          </w:p>
        </w:tc>
        <w:tc>
          <w:tcPr>
            <w:tcW w:w="1546" w:type="pct"/>
            <w:vMerge w:val="restar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p>
        </w:tc>
        <w:tc>
          <w:tcPr>
            <w:tcW w:w="666" w:type="pct"/>
            <w:vMerge w:val="restar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b/>
                <w:bCs/>
                <w:color w:val="FF0000"/>
                <w:sz w:val="22"/>
                <w:szCs w:val="22"/>
              </w:rPr>
            </w:pPr>
            <w:r>
              <w:rPr>
                <w:rFonts w:hint="default" w:ascii="Times New Roman" w:hAnsi="Times New Roman" w:eastAsia="仿宋" w:cs="Times New Roman"/>
                <w:b/>
                <w:bCs/>
                <w:color w:val="FF0000"/>
                <w:sz w:val="22"/>
                <w:szCs w:val="22"/>
              </w:rPr>
              <w:t>地理坐标</w:t>
            </w:r>
          </w:p>
        </w:tc>
        <w:tc>
          <w:tcPr>
            <w:tcW w:w="1986"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r>
              <w:rPr>
                <w:rFonts w:hint="default" w:ascii="Times New Roman" w:hAnsi="Times New Roman" w:eastAsia="仿宋" w:cs="Times New Roman"/>
                <w:color w:val="FF0000"/>
                <w:sz w:val="22"/>
                <w:szCs w:val="22"/>
              </w:rPr>
              <w:t>东经：</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800" w:type="pct"/>
            <w:vMerge w:val="continue"/>
            <w:tcBorders>
              <w:tl2br w:val="nil"/>
              <w:tr2bl w:val="nil"/>
            </w:tcBorders>
            <w:noWrap w:val="0"/>
            <w:vAlign w:val="center"/>
          </w:tcPr>
          <w:p>
            <w:pPr>
              <w:pStyle w:val="18"/>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b/>
                <w:bCs/>
                <w:color w:val="FF0000"/>
                <w:sz w:val="22"/>
                <w:szCs w:val="22"/>
              </w:rPr>
            </w:pPr>
          </w:p>
        </w:tc>
        <w:tc>
          <w:tcPr>
            <w:tcW w:w="1546" w:type="pct"/>
            <w:vMerge w:val="continue"/>
            <w:tcBorders>
              <w:tl2br w:val="nil"/>
              <w:tr2bl w:val="nil"/>
            </w:tcBorders>
            <w:noWrap w:val="0"/>
            <w:vAlign w:val="center"/>
          </w:tcPr>
          <w:p>
            <w:pPr>
              <w:pStyle w:val="18"/>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p>
        </w:tc>
        <w:tc>
          <w:tcPr>
            <w:tcW w:w="666" w:type="pct"/>
            <w:vMerge w:val="continue"/>
            <w:tcBorders>
              <w:tl2br w:val="nil"/>
              <w:tr2bl w:val="nil"/>
            </w:tcBorders>
            <w:noWrap w:val="0"/>
            <w:vAlign w:val="center"/>
          </w:tcPr>
          <w:p>
            <w:pPr>
              <w:pStyle w:val="18"/>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b/>
                <w:bCs/>
                <w:color w:val="FF0000"/>
                <w:sz w:val="22"/>
                <w:szCs w:val="22"/>
              </w:rPr>
            </w:pPr>
          </w:p>
        </w:tc>
        <w:tc>
          <w:tcPr>
            <w:tcW w:w="1986"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r>
              <w:rPr>
                <w:rFonts w:hint="default" w:ascii="Times New Roman" w:hAnsi="Times New Roman" w:eastAsia="仿宋" w:cs="Times New Roman"/>
                <w:color w:val="FF0000"/>
                <w:sz w:val="22"/>
                <w:szCs w:val="22"/>
              </w:rPr>
              <w:t>北纬：</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800"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jc w:val="center"/>
              <w:textAlignment w:val="auto"/>
              <w:rPr>
                <w:rFonts w:hint="default" w:ascii="Times New Roman" w:hAnsi="Times New Roman" w:eastAsia="仿宋" w:cs="Times New Roman"/>
                <w:b/>
                <w:bCs/>
                <w:color w:val="FF0000"/>
                <w:sz w:val="22"/>
                <w:szCs w:val="22"/>
              </w:rPr>
            </w:pPr>
            <w:r>
              <w:rPr>
                <w:rFonts w:hint="default" w:ascii="Times New Roman" w:hAnsi="Times New Roman" w:eastAsia="仿宋" w:cs="Times New Roman"/>
                <w:b/>
                <w:bCs/>
                <w:color w:val="FF0000"/>
                <w:sz w:val="22"/>
                <w:szCs w:val="22"/>
              </w:rPr>
              <w:t>到达现场时间</w:t>
            </w:r>
          </w:p>
        </w:tc>
        <w:tc>
          <w:tcPr>
            <w:tcW w:w="1546"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p>
        </w:tc>
        <w:tc>
          <w:tcPr>
            <w:tcW w:w="666"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jc w:val="both"/>
              <w:textAlignment w:val="auto"/>
              <w:rPr>
                <w:rFonts w:hint="default" w:ascii="Times New Roman" w:hAnsi="Times New Roman" w:eastAsia="仿宋" w:cs="Times New Roman"/>
                <w:b/>
                <w:bCs/>
                <w:color w:val="FF0000"/>
                <w:sz w:val="22"/>
                <w:szCs w:val="22"/>
              </w:rPr>
            </w:pPr>
            <w:r>
              <w:rPr>
                <w:rFonts w:hint="default" w:ascii="Times New Roman" w:hAnsi="Times New Roman" w:eastAsia="仿宋" w:cs="Times New Roman"/>
                <w:b/>
                <w:bCs/>
                <w:color w:val="FF0000"/>
                <w:sz w:val="22"/>
                <w:szCs w:val="22"/>
              </w:rPr>
              <w:t>气象参数</w:t>
            </w:r>
          </w:p>
        </w:tc>
        <w:tc>
          <w:tcPr>
            <w:tcW w:w="1986" w:type="pct"/>
            <w:tcBorders>
              <w:tl2br w:val="nil"/>
              <w:tr2bl w:val="nil"/>
            </w:tcBorders>
            <w:noWrap w:val="0"/>
            <w:vAlign w:val="center"/>
          </w:tcPr>
          <w:p>
            <w:pPr>
              <w:pStyle w:val="129"/>
              <w:keepNext w:val="0"/>
              <w:keepLines w:val="0"/>
              <w:pageBreakBefore w:val="0"/>
              <w:widowControl w:val="0"/>
              <w:tabs>
                <w:tab w:val="left" w:pos="1558"/>
              </w:tabs>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r>
              <w:rPr>
                <w:rFonts w:hint="default" w:ascii="Times New Roman" w:hAnsi="Times New Roman" w:eastAsia="仿宋" w:cs="Times New Roman"/>
                <w:color w:val="FF0000"/>
                <w:sz w:val="22"/>
                <w:szCs w:val="22"/>
              </w:rPr>
              <w:t>风向：</w:t>
            </w:r>
            <w:r>
              <w:rPr>
                <w:rFonts w:hint="default" w:ascii="Times New Roman" w:hAnsi="Times New Roman" w:eastAsia="仿宋" w:cs="Times New Roman"/>
                <w:color w:val="FF0000"/>
                <w:sz w:val="22"/>
                <w:szCs w:val="22"/>
              </w:rPr>
              <w:tab/>
            </w:r>
            <w:r>
              <w:rPr>
                <w:rFonts w:hint="default" w:ascii="Times New Roman" w:hAnsi="Times New Roman" w:eastAsia="仿宋" w:cs="Times New Roman"/>
                <w:color w:val="FF0000"/>
                <w:sz w:val="22"/>
                <w:szCs w:val="22"/>
              </w:rPr>
              <w:t>风速：</w:t>
            </w:r>
          </w:p>
          <w:p>
            <w:pPr>
              <w:pStyle w:val="129"/>
              <w:keepNext w:val="0"/>
              <w:keepLines w:val="0"/>
              <w:pageBreakBefore w:val="0"/>
              <w:widowControl w:val="0"/>
              <w:tabs>
                <w:tab w:val="left" w:pos="1558"/>
              </w:tabs>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r>
              <w:rPr>
                <w:rFonts w:hint="default" w:ascii="Times New Roman" w:hAnsi="Times New Roman" w:eastAsia="仿宋" w:cs="Times New Roman"/>
                <w:color w:val="FF0000"/>
                <w:sz w:val="22"/>
                <w:szCs w:val="22"/>
              </w:rPr>
              <w:t>温度：</w:t>
            </w:r>
            <w:r>
              <w:rPr>
                <w:rFonts w:hint="default" w:ascii="Times New Roman" w:hAnsi="Times New Roman" w:eastAsia="仿宋" w:cs="Times New Roman"/>
                <w:color w:val="FF0000"/>
                <w:sz w:val="22"/>
                <w:szCs w:val="22"/>
              </w:rPr>
              <w:tab/>
            </w:r>
            <w:r>
              <w:rPr>
                <w:rFonts w:hint="default" w:ascii="Times New Roman" w:hAnsi="Times New Roman" w:eastAsia="仿宋" w:cs="Times New Roman"/>
                <w:color w:val="FF0000"/>
                <w:sz w:val="22"/>
                <w:szCs w:val="22"/>
              </w:rPr>
              <w:t xml:space="preserve">大气压： </w:t>
            </w:r>
          </w:p>
          <w:p>
            <w:pPr>
              <w:pStyle w:val="129"/>
              <w:keepNext w:val="0"/>
              <w:keepLines w:val="0"/>
              <w:pageBreakBefore w:val="0"/>
              <w:widowControl w:val="0"/>
              <w:tabs>
                <w:tab w:val="left" w:pos="1558"/>
              </w:tabs>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r>
              <w:rPr>
                <w:rFonts w:hint="default" w:ascii="Times New Roman" w:hAnsi="Times New Roman" w:eastAsia="仿宋" w:cs="Times New Roman"/>
                <w:color w:val="FF0000"/>
                <w:sz w:val="22"/>
                <w:szCs w:val="22"/>
              </w:rPr>
              <w:t>降水：</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800"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b/>
                <w:bCs/>
                <w:color w:val="FF0000"/>
                <w:sz w:val="22"/>
                <w:szCs w:val="22"/>
              </w:rPr>
            </w:pPr>
            <w:r>
              <w:rPr>
                <w:rFonts w:hint="default" w:ascii="Times New Roman" w:hAnsi="Times New Roman" w:eastAsia="仿宋" w:cs="Times New Roman"/>
                <w:b/>
                <w:bCs/>
                <w:color w:val="FF0000"/>
                <w:sz w:val="22"/>
                <w:szCs w:val="22"/>
              </w:rPr>
              <w:t>纳污水体水文情况</w:t>
            </w:r>
          </w:p>
        </w:tc>
        <w:tc>
          <w:tcPr>
            <w:tcW w:w="1546" w:type="pct"/>
            <w:tcBorders>
              <w:tl2br w:val="nil"/>
              <w:tr2bl w:val="nil"/>
            </w:tcBorders>
            <w:noWrap w:val="0"/>
            <w:vAlign w:val="center"/>
          </w:tcPr>
          <w:p>
            <w:pPr>
              <w:pStyle w:val="129"/>
              <w:keepNext w:val="0"/>
              <w:keepLines w:val="0"/>
              <w:pageBreakBefore w:val="0"/>
              <w:widowControl w:val="0"/>
              <w:tabs>
                <w:tab w:val="left" w:pos="1200"/>
              </w:tabs>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r>
              <w:rPr>
                <w:rFonts w:hint="default" w:ascii="Times New Roman" w:hAnsi="Times New Roman" w:eastAsia="仿宋" w:cs="Times New Roman"/>
                <w:color w:val="FF0000"/>
                <w:sz w:val="22"/>
                <w:szCs w:val="22"/>
              </w:rPr>
              <w:t>流向：</w:t>
            </w:r>
            <w:r>
              <w:rPr>
                <w:rFonts w:hint="eastAsia" w:ascii="Times New Roman" w:hAnsi="Times New Roman" w:eastAsia="仿宋" w:cs="Times New Roman"/>
                <w:color w:val="FF0000"/>
                <w:sz w:val="22"/>
                <w:szCs w:val="22"/>
                <w:lang w:val="en-US" w:eastAsia="zh-CN"/>
              </w:rPr>
              <w:t xml:space="preserve">         </w:t>
            </w:r>
            <w:r>
              <w:rPr>
                <w:rFonts w:hint="default" w:ascii="Times New Roman" w:hAnsi="Times New Roman" w:eastAsia="仿宋" w:cs="Times New Roman"/>
                <w:color w:val="FF0000"/>
                <w:sz w:val="22"/>
                <w:szCs w:val="22"/>
              </w:rPr>
              <w:t>流速（量</w:t>
            </w:r>
            <w:r>
              <w:rPr>
                <w:rFonts w:hint="default" w:ascii="Times New Roman" w:hAnsi="Times New Roman" w:eastAsia="仿宋" w:cs="Times New Roman"/>
                <w:color w:val="FF0000"/>
                <w:spacing w:val="-92"/>
                <w:sz w:val="22"/>
                <w:szCs w:val="22"/>
              </w:rPr>
              <w:t>）</w:t>
            </w:r>
            <w:r>
              <w:rPr>
                <w:rFonts w:hint="default" w:ascii="Times New Roman" w:hAnsi="Times New Roman" w:eastAsia="仿宋" w:cs="Times New Roman"/>
                <w:color w:val="FF0000"/>
                <w:sz w:val="22"/>
                <w:szCs w:val="22"/>
              </w:rPr>
              <w:t>：</w:t>
            </w:r>
          </w:p>
        </w:tc>
        <w:tc>
          <w:tcPr>
            <w:tcW w:w="666"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jc w:val="both"/>
              <w:textAlignment w:val="auto"/>
              <w:rPr>
                <w:rFonts w:hint="default" w:ascii="Times New Roman" w:hAnsi="Times New Roman" w:eastAsia="仿宋" w:cs="Times New Roman"/>
                <w:b/>
                <w:bCs/>
                <w:color w:val="FF0000"/>
                <w:sz w:val="22"/>
                <w:szCs w:val="22"/>
              </w:rPr>
            </w:pPr>
            <w:r>
              <w:rPr>
                <w:rFonts w:hint="default" w:ascii="Times New Roman" w:hAnsi="Times New Roman" w:eastAsia="仿宋" w:cs="Times New Roman"/>
                <w:b/>
                <w:bCs/>
                <w:color w:val="FF0000"/>
                <w:sz w:val="22"/>
                <w:szCs w:val="22"/>
              </w:rPr>
              <w:t>防护措施</w:t>
            </w:r>
          </w:p>
        </w:tc>
        <w:tc>
          <w:tcPr>
            <w:tcW w:w="1986"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800"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jc w:val="center"/>
              <w:textAlignment w:val="auto"/>
              <w:rPr>
                <w:rFonts w:hint="default" w:ascii="Times New Roman" w:hAnsi="Times New Roman" w:eastAsia="仿宋" w:cs="Times New Roman"/>
                <w:b/>
                <w:bCs/>
                <w:color w:val="FF0000"/>
                <w:sz w:val="22"/>
                <w:szCs w:val="22"/>
              </w:rPr>
            </w:pPr>
            <w:r>
              <w:rPr>
                <w:rFonts w:hint="default" w:ascii="Times New Roman" w:hAnsi="Times New Roman" w:eastAsia="仿宋" w:cs="Times New Roman"/>
                <w:b/>
                <w:bCs/>
                <w:color w:val="FF0000"/>
                <w:sz w:val="22"/>
                <w:szCs w:val="22"/>
              </w:rPr>
              <w:t>调查人员</w:t>
            </w:r>
          </w:p>
        </w:tc>
        <w:tc>
          <w:tcPr>
            <w:tcW w:w="4199" w:type="pct"/>
            <w:gridSpan w:val="3"/>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r>
              <w:rPr>
                <w:rFonts w:hint="default" w:ascii="Times New Roman" w:hAnsi="Times New Roman" w:eastAsia="仿宋" w:cs="Times New Roman"/>
                <w:color w:val="FF0000"/>
                <w:sz w:val="22"/>
                <w:szCs w:val="22"/>
              </w:rPr>
              <w:t>记录人：</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800"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jc w:val="center"/>
              <w:textAlignment w:val="auto"/>
              <w:rPr>
                <w:rFonts w:hint="default" w:ascii="Times New Roman" w:hAnsi="Times New Roman" w:eastAsia="仿宋" w:cs="Times New Roman"/>
                <w:b/>
                <w:bCs/>
                <w:color w:val="FF0000"/>
                <w:sz w:val="22"/>
                <w:szCs w:val="22"/>
              </w:rPr>
            </w:pPr>
            <w:r>
              <w:rPr>
                <w:rFonts w:hint="default" w:ascii="Times New Roman" w:hAnsi="Times New Roman" w:eastAsia="仿宋" w:cs="Times New Roman"/>
                <w:b/>
                <w:bCs/>
                <w:color w:val="FF0000"/>
                <w:sz w:val="22"/>
                <w:szCs w:val="22"/>
              </w:rPr>
              <w:t>突发环境事件发生时间、起因、受影响环境要素及大致范围</w:t>
            </w:r>
          </w:p>
        </w:tc>
        <w:tc>
          <w:tcPr>
            <w:tcW w:w="4199" w:type="pct"/>
            <w:gridSpan w:val="3"/>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800"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b/>
                <w:bCs/>
                <w:color w:val="FF0000"/>
                <w:sz w:val="22"/>
                <w:szCs w:val="22"/>
              </w:rPr>
            </w:pPr>
            <w:r>
              <w:rPr>
                <w:rFonts w:hint="default" w:ascii="Times New Roman" w:hAnsi="Times New Roman" w:eastAsia="仿宋" w:cs="Times New Roman"/>
                <w:b/>
                <w:bCs/>
                <w:color w:val="FF0000"/>
                <w:sz w:val="22"/>
                <w:szCs w:val="22"/>
              </w:rPr>
              <w:t>主要污染物、特性及流失量</w:t>
            </w:r>
          </w:p>
        </w:tc>
        <w:tc>
          <w:tcPr>
            <w:tcW w:w="4199" w:type="pct"/>
            <w:gridSpan w:val="3"/>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800"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jc w:val="center"/>
              <w:textAlignment w:val="auto"/>
              <w:rPr>
                <w:rFonts w:hint="default" w:ascii="Times New Roman" w:hAnsi="Times New Roman" w:eastAsia="仿宋" w:cs="Times New Roman"/>
                <w:b/>
                <w:bCs/>
                <w:color w:val="FF0000"/>
                <w:sz w:val="22"/>
                <w:szCs w:val="22"/>
              </w:rPr>
            </w:pPr>
            <w:r>
              <w:rPr>
                <w:rFonts w:hint="default" w:ascii="Times New Roman" w:hAnsi="Times New Roman" w:eastAsia="仿宋" w:cs="Times New Roman"/>
                <w:b/>
                <w:bCs/>
                <w:color w:val="FF0000"/>
                <w:sz w:val="22"/>
                <w:szCs w:val="22"/>
              </w:rPr>
              <w:t>环境敏感点情况</w:t>
            </w:r>
          </w:p>
        </w:tc>
        <w:tc>
          <w:tcPr>
            <w:tcW w:w="4199" w:type="pct"/>
            <w:gridSpan w:val="3"/>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800"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jc w:val="center"/>
              <w:textAlignment w:val="auto"/>
              <w:rPr>
                <w:rFonts w:hint="default" w:ascii="Times New Roman" w:hAnsi="Times New Roman" w:eastAsia="仿宋" w:cs="Times New Roman"/>
                <w:b/>
                <w:bCs/>
                <w:color w:val="FF0000"/>
                <w:sz w:val="22"/>
                <w:szCs w:val="22"/>
              </w:rPr>
            </w:pPr>
            <w:r>
              <w:rPr>
                <w:rFonts w:hint="default" w:ascii="Times New Roman" w:hAnsi="Times New Roman" w:eastAsia="仿宋" w:cs="Times New Roman"/>
                <w:b/>
                <w:bCs/>
                <w:color w:val="FF0000"/>
                <w:sz w:val="22"/>
                <w:szCs w:val="22"/>
              </w:rPr>
              <w:t>可能的伴生物 质、衍生污染物或次生污染物</w:t>
            </w:r>
          </w:p>
        </w:tc>
        <w:tc>
          <w:tcPr>
            <w:tcW w:w="4199" w:type="pct"/>
            <w:gridSpan w:val="3"/>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800"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jc w:val="both"/>
              <w:textAlignment w:val="auto"/>
              <w:rPr>
                <w:rFonts w:hint="default" w:ascii="Times New Roman" w:hAnsi="Times New Roman" w:eastAsia="仿宋" w:cs="Times New Roman"/>
                <w:b/>
                <w:bCs/>
                <w:color w:val="FF0000"/>
                <w:sz w:val="22"/>
                <w:szCs w:val="22"/>
              </w:rPr>
            </w:pPr>
            <w:r>
              <w:rPr>
                <w:rFonts w:hint="default" w:ascii="Times New Roman" w:hAnsi="Times New Roman" w:eastAsia="仿宋" w:cs="Times New Roman"/>
                <w:b/>
                <w:bCs/>
                <w:color w:val="FF0000"/>
                <w:sz w:val="22"/>
                <w:szCs w:val="22"/>
              </w:rPr>
              <w:t>现场初步判别结果（特征污染物和监测项目）</w:t>
            </w:r>
          </w:p>
        </w:tc>
        <w:tc>
          <w:tcPr>
            <w:tcW w:w="4199" w:type="pct"/>
            <w:gridSpan w:val="3"/>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800"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b/>
                <w:bCs/>
                <w:color w:val="FF0000"/>
                <w:sz w:val="22"/>
                <w:szCs w:val="22"/>
              </w:rPr>
            </w:pPr>
            <w:r>
              <w:rPr>
                <w:rFonts w:hint="default" w:ascii="Times New Roman" w:hAnsi="Times New Roman" w:eastAsia="仿宋" w:cs="Times New Roman"/>
                <w:b/>
                <w:bCs/>
                <w:color w:val="FF0000"/>
                <w:sz w:val="22"/>
                <w:szCs w:val="22"/>
              </w:rPr>
              <w:t>现场环境及敏感点示意图</w:t>
            </w:r>
          </w:p>
        </w:tc>
        <w:tc>
          <w:tcPr>
            <w:tcW w:w="4199" w:type="pct"/>
            <w:gridSpan w:val="3"/>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jc w:val="right"/>
              <w:textAlignment w:val="auto"/>
              <w:rPr>
                <w:rFonts w:hint="default" w:ascii="Times New Roman" w:hAnsi="Times New Roman" w:eastAsia="仿宋" w:cs="Times New Roman"/>
                <w:color w:val="FF0000"/>
                <w:sz w:val="22"/>
                <w:szCs w:val="22"/>
              </w:rPr>
            </w:pPr>
            <w:r>
              <w:rPr>
                <w:rFonts w:hint="default" w:ascii="Times New Roman" w:hAnsi="Times New Roman" w:eastAsia="仿宋" w:cs="Times New Roman"/>
                <w:color w:val="FF0000"/>
                <w:sz w:val="22"/>
                <w:szCs w:val="22"/>
              </w:rPr>
              <w:t>北</w:t>
            </w:r>
          </w:p>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jc w:val="right"/>
              <w:textAlignment w:val="auto"/>
              <w:rPr>
                <w:rFonts w:hint="default" w:ascii="Times New Roman" w:hAnsi="Times New Roman" w:eastAsia="仿宋" w:cs="Times New Roman"/>
                <w:color w:val="FF0000"/>
                <w:sz w:val="22"/>
                <w:szCs w:val="22"/>
              </w:rPr>
            </w:pPr>
            <w:r>
              <w:rPr>
                <w:rFonts w:hint="default" w:ascii="Times New Roman" w:hAnsi="Times New Roman" w:eastAsia="仿宋" w:cs="Times New Roman"/>
                <w:color w:val="FF0000"/>
                <w:sz w:val="22"/>
                <w:szCs w:val="22"/>
              </w:rPr>
              <w:drawing>
                <wp:inline distT="0" distB="0" distL="114300" distR="114300">
                  <wp:extent cx="130810" cy="311785"/>
                  <wp:effectExtent l="0" t="0" r="2540" b="12065"/>
                  <wp:docPr id="2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pic:cNvPicPr>
                            <a:picLocks noChangeAspect="1"/>
                          </pic:cNvPicPr>
                        </pic:nvPicPr>
                        <pic:blipFill>
                          <a:blip r:embed="rId36"/>
                          <a:stretch>
                            <a:fillRect/>
                          </a:stretch>
                        </pic:blipFill>
                        <pic:spPr>
                          <a:xfrm>
                            <a:off x="0" y="0"/>
                            <a:ext cx="130810" cy="311785"/>
                          </a:xfrm>
                          <a:prstGeom prst="rect">
                            <a:avLst/>
                          </a:prstGeom>
                          <a:noFill/>
                          <a:ln>
                            <a:noFill/>
                          </a:ln>
                        </pic:spPr>
                      </pic:pic>
                    </a:graphicData>
                  </a:graphic>
                </wp:inline>
              </w:drawing>
            </w:r>
          </w:p>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rPr>
          <w:trHeight w:val="397" w:hRule="atLeast"/>
        </w:trPr>
        <w:tc>
          <w:tcPr>
            <w:tcW w:w="800" w:type="pct"/>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jc w:val="center"/>
              <w:textAlignment w:val="auto"/>
              <w:rPr>
                <w:rFonts w:hint="default" w:ascii="Times New Roman" w:hAnsi="Times New Roman" w:eastAsia="仿宋" w:cs="Times New Roman"/>
                <w:b/>
                <w:bCs/>
                <w:color w:val="FF0000"/>
                <w:sz w:val="22"/>
                <w:szCs w:val="22"/>
              </w:rPr>
            </w:pPr>
            <w:r>
              <w:rPr>
                <w:rFonts w:hint="default" w:ascii="Times New Roman" w:hAnsi="Times New Roman" w:eastAsia="仿宋" w:cs="Times New Roman"/>
                <w:b/>
                <w:bCs/>
                <w:color w:val="FF0000"/>
                <w:sz w:val="22"/>
                <w:szCs w:val="22"/>
              </w:rPr>
              <w:t>其他相关信息</w:t>
            </w:r>
          </w:p>
        </w:tc>
        <w:tc>
          <w:tcPr>
            <w:tcW w:w="4199" w:type="pct"/>
            <w:gridSpan w:val="3"/>
            <w:tcBorders>
              <w:tl2br w:val="nil"/>
              <w:tr2bl w:val="nil"/>
            </w:tcBorders>
            <w:noWrap w:val="0"/>
            <w:vAlign w:val="center"/>
          </w:tcPr>
          <w:p>
            <w:pPr>
              <w:pStyle w:val="129"/>
              <w:keepNext w:val="0"/>
              <w:keepLines w:val="0"/>
              <w:pageBreakBefore w:val="0"/>
              <w:widowControl w:val="0"/>
              <w:kinsoku w:val="0"/>
              <w:wordWrap/>
              <w:overflowPunct w:val="0"/>
              <w:topLinePunct w:val="0"/>
              <w:autoSpaceDE/>
              <w:autoSpaceDN/>
              <w:bidi w:val="0"/>
              <w:adjustRightInd/>
              <w:snapToGrid/>
              <w:spacing w:beforeLines="0" w:afterLines="0" w:line="240" w:lineRule="auto"/>
              <w:ind w:left="0" w:right="0" w:firstLine="0"/>
              <w:textAlignment w:val="auto"/>
              <w:rPr>
                <w:rFonts w:hint="default" w:ascii="Times New Roman" w:hAnsi="Times New Roman" w:eastAsia="仿宋" w:cs="Times New Roman"/>
                <w:color w:val="FF0000"/>
                <w:sz w:val="22"/>
                <w:szCs w:val="22"/>
              </w:rPr>
            </w:pPr>
          </w:p>
        </w:tc>
      </w:tr>
    </w:tbl>
    <w:p>
      <w:pPr>
        <w:pStyle w:val="9"/>
        <w:spacing w:before="0" w:after="0" w:line="520" w:lineRule="exact"/>
        <w:ind w:left="0" w:firstLine="0"/>
        <w:rPr>
          <w:rFonts w:hint="eastAsia" w:hAnsi="仿宋" w:eastAsia="仿宋"/>
          <w:color w:val="FF0000"/>
        </w:rPr>
      </w:pPr>
      <w:r>
        <w:rPr>
          <w:rFonts w:hint="eastAsia" w:hAnsi="仿宋" w:eastAsia="仿宋"/>
          <w:color w:val="FF0000"/>
        </w:rPr>
        <w:t>污染物和监测项目的确定</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lang w:val="en-US" w:eastAsia="zh-CN"/>
        </w:rPr>
        <w:t>（1）</w:t>
      </w:r>
      <w:r>
        <w:rPr>
          <w:rFonts w:hint="eastAsia" w:hAnsi="仿宋" w:eastAsia="仿宋"/>
          <w:b w:val="0"/>
          <w:bCs w:val="0"/>
          <w:color w:val="FF0000"/>
          <w:sz w:val="28"/>
          <w:szCs w:val="28"/>
        </w:rPr>
        <w:t>污染物和监测项目的确定原则</w:t>
      </w:r>
    </w:p>
    <w:p>
      <w:pPr>
        <w:pStyle w:val="95"/>
        <w:spacing w:line="520" w:lineRule="exact"/>
        <w:ind w:firstLine="562"/>
        <w:rPr>
          <w:rFonts w:hint="eastAsia" w:hAnsi="仿宋" w:eastAsia="仿宋"/>
          <w:b w:val="0"/>
          <w:bCs w:val="0"/>
          <w:color w:val="FF0000"/>
          <w:sz w:val="28"/>
          <w:szCs w:val="28"/>
          <w:lang w:eastAsia="zh-CN"/>
        </w:rPr>
      </w:pPr>
      <w:r>
        <w:rPr>
          <w:rFonts w:hint="eastAsia" w:hAnsi="仿宋" w:eastAsia="仿宋"/>
          <w:b w:val="0"/>
          <w:bCs w:val="0"/>
          <w:color w:val="FF0000"/>
          <w:sz w:val="28"/>
          <w:szCs w:val="28"/>
        </w:rPr>
        <w:t>优先选择特征污染物和主要污染因子作为监测项目，根据污染事件的性质和环境污染状况确认在环境中积累较多、对环境危害较大、影响范围广、毒性较强的污染物，或者为污染事件对环境造成严重不良影响的特定项目，并根据污染物性质（自然性、扩散性或活性、毒性、可持续性、生物可降解性或积累性、潜在毒性）及污染趋势，按可行性原则（尽量有监测方法、评价标准或要求）进行确定。</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lang w:eastAsia="zh-CN"/>
        </w:rPr>
        <w:t>（</w:t>
      </w:r>
      <w:r>
        <w:rPr>
          <w:rFonts w:hint="eastAsia" w:hAnsi="仿宋" w:eastAsia="仿宋"/>
          <w:b w:val="0"/>
          <w:bCs w:val="0"/>
          <w:color w:val="FF0000"/>
          <w:sz w:val="28"/>
          <w:szCs w:val="28"/>
          <w:lang w:val="en-US" w:eastAsia="zh-CN"/>
        </w:rPr>
        <w:t>2</w:t>
      </w:r>
      <w:r>
        <w:rPr>
          <w:rFonts w:hint="eastAsia" w:hAnsi="仿宋" w:eastAsia="仿宋"/>
          <w:b w:val="0"/>
          <w:bCs w:val="0"/>
          <w:color w:val="FF0000"/>
          <w:sz w:val="28"/>
          <w:szCs w:val="28"/>
          <w:lang w:eastAsia="zh-CN"/>
        </w:rPr>
        <w:t>）</w:t>
      </w:r>
      <w:r>
        <w:rPr>
          <w:rFonts w:hint="eastAsia" w:hAnsi="仿宋" w:eastAsia="仿宋"/>
          <w:b w:val="0"/>
          <w:bCs w:val="0"/>
          <w:color w:val="FF0000"/>
          <w:sz w:val="28"/>
          <w:szCs w:val="28"/>
        </w:rPr>
        <w:t>已知污染物监测项目的确定</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rPr>
        <w:t>根据已知污染物及其可能存在的伴生物质，以及可能在环境中反应生成的衍生污染物或次生污染物等确定主要监测项目。</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rPr>
        <w:t>对固定污染源引发的突发环境事件，了解引发突发环境事件的位置、设备、材料、产品等信息，采集有代表性的污染源样品，确定特征污染物和监测项目。</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rPr>
        <w:t>对移动污染源引发的突发环境事件，了解运输危险化学品或危险废物的名称、数量、来源、生产或使用单位，同时采集有代表性的污染源样品，确定特征污染物和监测项目。</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lang w:eastAsia="zh-CN"/>
        </w:rPr>
        <w:t>（</w:t>
      </w:r>
      <w:r>
        <w:rPr>
          <w:rFonts w:hint="eastAsia" w:hAnsi="仿宋" w:eastAsia="仿宋"/>
          <w:b w:val="0"/>
          <w:bCs w:val="0"/>
          <w:color w:val="FF0000"/>
          <w:sz w:val="28"/>
          <w:szCs w:val="28"/>
          <w:lang w:val="en-US" w:eastAsia="zh-CN"/>
        </w:rPr>
        <w:t>3</w:t>
      </w:r>
      <w:r>
        <w:rPr>
          <w:rFonts w:hint="eastAsia" w:hAnsi="仿宋" w:eastAsia="仿宋"/>
          <w:b w:val="0"/>
          <w:bCs w:val="0"/>
          <w:color w:val="FF0000"/>
          <w:sz w:val="28"/>
          <w:szCs w:val="28"/>
          <w:lang w:eastAsia="zh-CN"/>
        </w:rPr>
        <w:t>）</w:t>
      </w:r>
      <w:r>
        <w:rPr>
          <w:rFonts w:hint="eastAsia" w:hAnsi="仿宋" w:eastAsia="仿宋"/>
          <w:b w:val="0"/>
          <w:bCs w:val="0"/>
          <w:color w:val="FF0000"/>
          <w:sz w:val="28"/>
          <w:szCs w:val="28"/>
        </w:rPr>
        <w:t>未知污染物监测项目的确定</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rPr>
        <w:t>可根据现场调查结果，结合突发环境事件现场的一些特征及感官判断，如气味、颜色、挥发性、遇水的反应特性、人员或动植物的中毒反应症状及对周围生态环境的影响，初步判定特征污染物和监测项目。</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rPr>
        <w:t>可通过事件现场周围可能产生污染的排放源的生产、运输、安全及环保记录，初步判定特征污染物和监测项目。</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rPr>
        <w:t>可利用相关区域或流域的环境自动监测站和污染源在线监测系统等现有仪器设备的监测结果， 初步判定特征污染物和监测项目。</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rPr>
        <w:t>可通过现场采样分析，包括采集有代表性的污染源样品，利用检测试纸、快速检测管、便携式监测仪器、流动式监测平台等现场快速监测手段，初步判定特征污染物和监测项目。若现场快速监测方法的定性结果为检出，需进一步采用不同原理的其他方法进行确认。</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rPr>
        <w:t>可现场采集样品（包括有代表性的污染源样品）送实验室分析，确定特征污染物和监测项目。</w:t>
      </w:r>
    </w:p>
    <w:p>
      <w:pPr>
        <w:pStyle w:val="9"/>
        <w:spacing w:before="0" w:after="0" w:line="520" w:lineRule="exact"/>
        <w:ind w:left="0" w:firstLine="0"/>
        <w:rPr>
          <w:rFonts w:hint="eastAsia" w:hAnsi="仿宋" w:eastAsia="仿宋"/>
          <w:color w:val="FF0000"/>
        </w:rPr>
      </w:pPr>
      <w:r>
        <w:rPr>
          <w:rFonts w:hint="eastAsia" w:hAnsi="仿宋" w:eastAsia="仿宋"/>
          <w:color w:val="FF0000"/>
        </w:rPr>
        <w:t>污染范围及程度初步判别</w:t>
      </w:r>
    </w:p>
    <w:p>
      <w:pPr>
        <w:pStyle w:val="95"/>
        <w:spacing w:line="520" w:lineRule="exact"/>
        <w:ind w:firstLine="562"/>
        <w:rPr>
          <w:rFonts w:hint="eastAsia" w:hAnsi="仿宋" w:eastAsia="仿宋"/>
          <w:b w:val="0"/>
          <w:bCs w:val="0"/>
          <w:color w:val="FF0000"/>
          <w:sz w:val="28"/>
          <w:szCs w:val="28"/>
        </w:rPr>
      </w:pPr>
      <w:r>
        <w:rPr>
          <w:rFonts w:hint="eastAsia" w:hAnsi="仿宋" w:eastAsia="仿宋"/>
          <w:b w:val="0"/>
          <w:bCs w:val="0"/>
          <w:color w:val="FF0000"/>
          <w:sz w:val="28"/>
          <w:szCs w:val="28"/>
        </w:rPr>
        <w:t>根据现场调查收集的基础数据、文献资料以及分析结果，借助遥感、地理信息系统、动力学模型等技术方法，必要时可依靠专家支持系统，初步判别突发环境事件可能影响的时空范围、污染程度。</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应急监测布点原则</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由于环境污染事故发生时，污染物的分布极不均匀，时空变化大，对各环境要素的污染程度各不相同。因此，采样点位的选择对于准确判断污染物的浓度分布、污染范围与程度等极为重要。</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一般应急监测的布点原则是：</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1）采样断面（点）的设置一般以突发性环境化学污染事故发生地点及其附近为主时必须注意人群和生活环境，考虑对饮用水源地、居民住宅区空气、农田土壤等区域的影响，合理设置参照点，以掌握污染发生地点状况，反映事故发生区域环境的污染程度和污染范围为目的。</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2）对被突发性环境化学污染事故所污染的地表水、地下水、大气和土壤均应设置对照断面（点）、控制断面（点），对地表水和地下水还应设置削减断面，尽可能以最少的断面（点）获取足够的有代表性的所需信息，同时需考虑采样的可行性和方便性。</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应急监测布点采样方法及监测频次</w:t>
      </w:r>
    </w:p>
    <w:p>
      <w:pPr>
        <w:pStyle w:val="9"/>
        <w:spacing w:before="0" w:after="0" w:line="520" w:lineRule="exact"/>
        <w:ind w:left="0" w:firstLine="0"/>
        <w:rPr>
          <w:rFonts w:hAnsi="仿宋" w:eastAsia="仿宋"/>
        </w:rPr>
      </w:pPr>
      <w:r>
        <w:rPr>
          <w:rFonts w:hint="eastAsia" w:hAnsi="仿宋" w:eastAsia="仿宋"/>
        </w:rPr>
        <w:t>布点采样方法</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（1）环境空气污染事故</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应尽可能在事故发生地就近采样（往往污染物浓度最大，该值对于采用模型预测污染范围和变化趋势极为有用），并以事故地点为中心，根据事故发生地的地理特点、盛行风向及其他自然条件，在事故发生地下风向（污染物漂移云团经过的路径）影响区域、掩体或低洼地等位置，按一定间隔的圆形布点采样。同时根据污染物的特性在不同高度采样同时在事故点的上风向适当位置布设对照点。在距事故发生地最近的居民住宅区或其他敏感区域应布点采样。采样过程中应注意风向的变化，及时调整采样点位置。</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（2）地表水环境污染事故</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监测点位以事故发生地为主，根据水流方向、扩散速度（或流速）和现场具体情况（如地形地貌等）进行布点采样，同时应测定流量。采样器具应洁净并应避免交叉污染，现场可采集平行双样，一份供现场快速测定，另一份现场立刻加入保护剂，尽快送至实验室进行分析。若需要，可同时用专用采泥器（深水处）或塑料铲（浅水处）采集事故发生地的沉积物样品。</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（3）地下水环境污染事故</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①应以事故发生地为中心，根据本地区地下水流向采用网格法或辐射法在周围2 km内布设监测井采样，同时视地下水主要补给来源，在垂直于地下水流的上方向，设置对照监测井采样；在以地下水为饮用水源的取水处必须设置采样点。</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②采样应避开井壁，采样瓶以均匀的速度沉入水中，使整个垂直断面的各层水样进入采样瓶。</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③若用泵或直接从取水管采集水样时，应先排尽管内的积水后采集水样。同时要在事故发生地的上游采集二个对照样品。</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（4）土壤污染事故</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应以事故地点为中心，在事故发生地及其周围一定距离内的区域按一定间隔圆形布点采样，并根据污染物的特性在不同深度采样，同时采集先受污染区域的样品作为对照样品，必要时，还应采集在事故地附近农作物样品。在相对开阔的污染区域采取垂直深10 cm的表层土。将多点采集的土壤样品除去石块，草根等杂物，现场混合后取1-2 kg样品装在塑料袋内密封。</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（5）固定污染源和流动污染源</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对于固定污染源和流动污染源的监测、布点，应根据现场的具体情况，在产生污染物的不同工况（部位）下或不同容器内分别布设采样点。</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（6）环境化学污染事故</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对于化学品储存处的火灾、爆炸以及有害废物非法丢弃等造成的环境化学污染事故，由于样品基体往往极其复杂，此时就需要采取合适的样品预处理方法。</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对于所有采集的样品（包括大气样品，水样品和土壤样品），应分类保存，防止交叉污染。现场无法测定的公司，应立即将样品送至实验室分析。样品必须保存到应急行动结束后，才能废弃。</w:t>
      </w:r>
    </w:p>
    <w:p>
      <w:pPr>
        <w:pStyle w:val="9"/>
        <w:spacing w:before="0" w:after="0" w:line="520" w:lineRule="exact"/>
        <w:ind w:left="0" w:firstLine="0"/>
        <w:rPr>
          <w:rFonts w:hAnsi="仿宋" w:eastAsia="仿宋"/>
        </w:rPr>
      </w:pPr>
      <w:r>
        <w:rPr>
          <w:rFonts w:hint="eastAsia" w:hAnsi="仿宋" w:eastAsia="仿宋"/>
        </w:rPr>
        <w:t>监测频次的确定</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为了掌握事故发生后的污染程度、范围及变化趋势，需要实时进行连续的跟踪监测。</w:t>
      </w:r>
    </w:p>
    <w:p>
      <w:pPr>
        <w:pStyle w:val="95"/>
        <w:spacing w:line="520" w:lineRule="exact"/>
        <w:ind w:firstLine="562"/>
        <w:rPr>
          <w:rFonts w:hAnsi="仿宋" w:eastAsia="仿宋"/>
          <w:b w:val="0"/>
          <w:bCs w:val="0"/>
          <w:color w:val="FF0000"/>
          <w:sz w:val="28"/>
          <w:szCs w:val="28"/>
        </w:rPr>
      </w:pPr>
      <w:r>
        <w:rPr>
          <w:rFonts w:hint="eastAsia" w:hAnsi="仿宋" w:eastAsia="仿宋"/>
          <w:b w:val="0"/>
          <w:bCs w:val="0"/>
          <w:sz w:val="28"/>
          <w:szCs w:val="28"/>
        </w:rPr>
        <w:t>应急监测的频次根据事故发生的时间而有所变化，根据污染物的状况，在事发初期应当增加频次，不少于2小时采样一次；待摸清污染规律后可适当减少，不少于6小时一次；应急终止后可24小时一次进行取样。直至影响完全消除后方可停止取样。</w:t>
      </w:r>
    </w:p>
    <w:p>
      <w:pPr>
        <w:pStyle w:val="95"/>
        <w:spacing w:line="520" w:lineRule="exact"/>
        <w:ind w:firstLine="0" w:firstLineChars="0"/>
        <w:rPr>
          <w:rFonts w:hAnsi="仿宋" w:eastAsia="仿宋"/>
          <w:sz w:val="28"/>
          <w:szCs w:val="28"/>
        </w:rPr>
      </w:pPr>
      <w:r>
        <w:rPr>
          <w:rFonts w:hint="eastAsia" w:hAnsi="仿宋" w:eastAsia="仿宋"/>
          <w:sz w:val="28"/>
          <w:szCs w:val="28"/>
        </w:rPr>
        <w:t>7.5.3 应急监测方案</w:t>
      </w:r>
    </w:p>
    <w:p>
      <w:pPr>
        <w:pStyle w:val="95"/>
        <w:spacing w:line="520" w:lineRule="exact"/>
        <w:ind w:firstLine="562"/>
        <w:rPr>
          <w:rFonts w:eastAsia="仿宋"/>
          <w:b w:val="0"/>
          <w:bCs w:val="0"/>
          <w:sz w:val="28"/>
          <w:szCs w:val="28"/>
        </w:rPr>
      </w:pPr>
      <w:r>
        <w:rPr>
          <w:rFonts w:hAnsi="仿宋" w:eastAsia="仿宋"/>
          <w:b w:val="0"/>
          <w:bCs w:val="0"/>
          <w:sz w:val="28"/>
          <w:szCs w:val="28"/>
        </w:rPr>
        <w:t>污染物进入环境后，随着稀释、扩散、降解和沉降等自然作用以及应急处理处置后，其浓度会逐渐降低。为了掌握事故发生后的污染程度、范围及变化趋势，需要实时进行连续的跟踪监测。应急监测全过程应在事发、事中和事后等不同阶段予以体现，但各个阶段的监测频次不尽相同，</w:t>
      </w:r>
      <w:r>
        <w:rPr>
          <w:rFonts w:hint="eastAsia" w:hAnsi="仿宋" w:eastAsia="仿宋"/>
          <w:b w:val="0"/>
          <w:bCs w:val="0"/>
          <w:sz w:val="28"/>
          <w:szCs w:val="28"/>
        </w:rPr>
        <w:t>根据不同的事故类型，根据现场情况，由现场应急指挥部、监测站、专家组等共同确定监测方案。本企业主要可能突发环境事件应急监测方案见下表7.6-1所示。</w:t>
      </w:r>
    </w:p>
    <w:p>
      <w:pPr>
        <w:pStyle w:val="32"/>
        <w:spacing w:line="240" w:lineRule="auto"/>
        <w:rPr>
          <w:rFonts w:eastAsia="仿宋"/>
          <w:b w:val="0"/>
          <w:bCs w:val="0"/>
          <w:snapToGrid/>
          <w:kern w:val="2"/>
          <w:sz w:val="28"/>
          <w:szCs w:val="28"/>
        </w:rPr>
      </w:pPr>
      <w:r>
        <w:rPr>
          <w:rFonts w:hint="eastAsia" w:eastAsia="仿宋"/>
          <w:b w:val="0"/>
          <w:bCs w:val="0"/>
          <w:snapToGrid/>
          <w:kern w:val="2"/>
          <w:sz w:val="28"/>
          <w:szCs w:val="28"/>
        </w:rPr>
        <w:t>表7.6-1  应急监测频次的确定原则</w:t>
      </w:r>
    </w:p>
    <w:tbl>
      <w:tblPr>
        <w:tblStyle w:val="35"/>
        <w:tblW w:w="852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24"/>
        <w:gridCol w:w="4020"/>
        <w:gridCol w:w="327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1224" w:type="dxa"/>
            <w:noWrap/>
            <w:vAlign w:val="center"/>
          </w:tcPr>
          <w:p>
            <w:pPr>
              <w:jc w:val="center"/>
              <w:rPr>
                <w:rFonts w:eastAsia="仿宋"/>
                <w:b/>
                <w:bCs/>
                <w:sz w:val="22"/>
              </w:rPr>
            </w:pPr>
            <w:r>
              <w:rPr>
                <w:rFonts w:hAnsi="仿宋" w:eastAsia="仿宋"/>
                <w:b/>
                <w:bCs/>
                <w:sz w:val="22"/>
              </w:rPr>
              <w:t>事故类型</w:t>
            </w:r>
          </w:p>
        </w:tc>
        <w:tc>
          <w:tcPr>
            <w:tcW w:w="4020" w:type="dxa"/>
            <w:noWrap/>
            <w:vAlign w:val="center"/>
          </w:tcPr>
          <w:p>
            <w:pPr>
              <w:jc w:val="center"/>
              <w:rPr>
                <w:rFonts w:eastAsia="仿宋"/>
                <w:b/>
                <w:bCs/>
                <w:sz w:val="22"/>
              </w:rPr>
            </w:pPr>
            <w:r>
              <w:rPr>
                <w:rFonts w:hAnsi="仿宋" w:eastAsia="仿宋"/>
                <w:b/>
                <w:bCs/>
                <w:sz w:val="22"/>
              </w:rPr>
              <w:t>监测点位</w:t>
            </w:r>
          </w:p>
        </w:tc>
        <w:tc>
          <w:tcPr>
            <w:tcW w:w="3278" w:type="dxa"/>
            <w:noWrap/>
            <w:vAlign w:val="center"/>
          </w:tcPr>
          <w:p>
            <w:pPr>
              <w:jc w:val="center"/>
              <w:rPr>
                <w:rFonts w:eastAsia="仿宋"/>
                <w:b/>
                <w:bCs/>
                <w:sz w:val="22"/>
              </w:rPr>
            </w:pPr>
            <w:r>
              <w:rPr>
                <w:rFonts w:hAnsi="仿宋" w:eastAsia="仿宋"/>
                <w:b/>
                <w:bCs/>
                <w:sz w:val="22"/>
              </w:rPr>
              <w:t>应急监测频次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4" w:type="dxa"/>
            <w:vMerge w:val="restart"/>
            <w:noWrap/>
            <w:vAlign w:val="center"/>
          </w:tcPr>
          <w:p>
            <w:pPr>
              <w:jc w:val="center"/>
              <w:rPr>
                <w:rFonts w:eastAsia="仿宋"/>
                <w:sz w:val="22"/>
              </w:rPr>
            </w:pPr>
            <w:r>
              <w:rPr>
                <w:rFonts w:hAnsi="仿宋" w:eastAsia="仿宋"/>
                <w:sz w:val="22"/>
              </w:rPr>
              <w:t>环境空气污染事故</w:t>
            </w:r>
          </w:p>
        </w:tc>
        <w:tc>
          <w:tcPr>
            <w:tcW w:w="4020" w:type="dxa"/>
            <w:noWrap/>
            <w:vAlign w:val="center"/>
          </w:tcPr>
          <w:p>
            <w:pPr>
              <w:jc w:val="left"/>
              <w:rPr>
                <w:rFonts w:eastAsia="仿宋"/>
                <w:sz w:val="22"/>
              </w:rPr>
            </w:pPr>
            <w:r>
              <w:rPr>
                <w:rFonts w:hAnsi="仿宋" w:eastAsia="仿宋"/>
                <w:sz w:val="22"/>
              </w:rPr>
              <w:t>事故发生地</w:t>
            </w:r>
          </w:p>
        </w:tc>
        <w:tc>
          <w:tcPr>
            <w:tcW w:w="3278" w:type="dxa"/>
            <w:vMerge w:val="restart"/>
            <w:noWrap/>
            <w:vAlign w:val="center"/>
          </w:tcPr>
          <w:p>
            <w:pPr>
              <w:jc w:val="left"/>
              <w:rPr>
                <w:rFonts w:eastAsia="仿宋"/>
                <w:sz w:val="22"/>
              </w:rPr>
            </w:pPr>
            <w:r>
              <w:rPr>
                <w:rFonts w:hAnsi="仿宋" w:eastAsia="仿宋"/>
                <w:sz w:val="22"/>
              </w:rPr>
              <w:t>初始加密监测，频次：</w:t>
            </w:r>
            <w:r>
              <w:rPr>
                <w:rFonts w:eastAsia="仿宋"/>
                <w:sz w:val="22"/>
              </w:rPr>
              <w:t>6</w:t>
            </w:r>
            <w:r>
              <w:rPr>
                <w:rFonts w:hAnsi="仿宋" w:eastAsia="仿宋"/>
                <w:sz w:val="22"/>
              </w:rPr>
              <w:t>次</w:t>
            </w:r>
            <w:r>
              <w:rPr>
                <w:rFonts w:eastAsia="仿宋"/>
                <w:sz w:val="22"/>
              </w:rPr>
              <w:t>/</w:t>
            </w:r>
            <w:r>
              <w:rPr>
                <w:rFonts w:hAnsi="仿宋" w:eastAsia="仿宋"/>
                <w:sz w:val="22"/>
              </w:rPr>
              <w:t>天，随着污染物浓度下降逐渐降低频次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4" w:type="dxa"/>
            <w:vMerge w:val="continue"/>
            <w:noWrap/>
            <w:vAlign w:val="center"/>
          </w:tcPr>
          <w:p>
            <w:pPr>
              <w:jc w:val="center"/>
              <w:rPr>
                <w:rFonts w:eastAsia="仿宋"/>
                <w:sz w:val="22"/>
              </w:rPr>
            </w:pPr>
          </w:p>
        </w:tc>
        <w:tc>
          <w:tcPr>
            <w:tcW w:w="4020" w:type="dxa"/>
            <w:noWrap/>
            <w:vAlign w:val="center"/>
          </w:tcPr>
          <w:p>
            <w:pPr>
              <w:jc w:val="left"/>
              <w:rPr>
                <w:rFonts w:eastAsia="仿宋"/>
                <w:sz w:val="22"/>
              </w:rPr>
            </w:pPr>
            <w:r>
              <w:rPr>
                <w:rFonts w:hAnsi="仿宋" w:eastAsia="仿宋"/>
                <w:sz w:val="22"/>
              </w:rPr>
              <w:t>事故发生地周围居民区等敏感区域</w:t>
            </w:r>
          </w:p>
        </w:tc>
        <w:tc>
          <w:tcPr>
            <w:tcW w:w="3278" w:type="dxa"/>
            <w:vMerge w:val="continue"/>
            <w:noWrap/>
            <w:vAlign w:val="center"/>
          </w:tcPr>
          <w:p>
            <w:pPr>
              <w:jc w:val="left"/>
              <w:rPr>
                <w:rFonts w:eastAsia="仿宋"/>
                <w:sz w:val="22"/>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4" w:type="dxa"/>
            <w:vMerge w:val="continue"/>
            <w:noWrap/>
            <w:vAlign w:val="center"/>
          </w:tcPr>
          <w:p>
            <w:pPr>
              <w:jc w:val="center"/>
              <w:rPr>
                <w:rFonts w:eastAsia="仿宋"/>
                <w:sz w:val="22"/>
              </w:rPr>
            </w:pPr>
          </w:p>
        </w:tc>
        <w:tc>
          <w:tcPr>
            <w:tcW w:w="4020" w:type="dxa"/>
            <w:noWrap/>
            <w:vAlign w:val="center"/>
          </w:tcPr>
          <w:p>
            <w:pPr>
              <w:jc w:val="left"/>
              <w:rPr>
                <w:rFonts w:hAnsi="仿宋" w:eastAsia="仿宋"/>
                <w:sz w:val="22"/>
              </w:rPr>
            </w:pPr>
            <w:r>
              <w:rPr>
                <w:rFonts w:hint="eastAsia" w:hAnsi="仿宋" w:eastAsia="仿宋"/>
                <w:sz w:val="22"/>
              </w:rPr>
              <w:t>企业边界</w:t>
            </w:r>
          </w:p>
        </w:tc>
        <w:tc>
          <w:tcPr>
            <w:tcW w:w="3278" w:type="dxa"/>
            <w:vMerge w:val="continue"/>
            <w:noWrap/>
            <w:vAlign w:val="center"/>
          </w:tcPr>
          <w:p>
            <w:pPr>
              <w:jc w:val="left"/>
              <w:rPr>
                <w:rFonts w:eastAsia="仿宋"/>
                <w:sz w:val="22"/>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4" w:type="dxa"/>
            <w:vMerge w:val="continue"/>
            <w:noWrap/>
            <w:vAlign w:val="center"/>
          </w:tcPr>
          <w:p>
            <w:pPr>
              <w:jc w:val="center"/>
              <w:rPr>
                <w:rFonts w:eastAsia="仿宋"/>
                <w:sz w:val="22"/>
              </w:rPr>
            </w:pPr>
          </w:p>
        </w:tc>
        <w:tc>
          <w:tcPr>
            <w:tcW w:w="4020" w:type="dxa"/>
            <w:noWrap/>
            <w:vAlign w:val="center"/>
          </w:tcPr>
          <w:p>
            <w:pPr>
              <w:jc w:val="left"/>
              <w:rPr>
                <w:rFonts w:eastAsia="仿宋"/>
                <w:sz w:val="22"/>
              </w:rPr>
            </w:pPr>
            <w:r>
              <w:rPr>
                <w:rFonts w:hAnsi="仿宋" w:eastAsia="仿宋"/>
                <w:sz w:val="22"/>
              </w:rPr>
              <w:t>事故发生地下风向</w:t>
            </w:r>
          </w:p>
        </w:tc>
        <w:tc>
          <w:tcPr>
            <w:tcW w:w="3278" w:type="dxa"/>
            <w:noWrap/>
            <w:vAlign w:val="center"/>
          </w:tcPr>
          <w:p>
            <w:pPr>
              <w:jc w:val="left"/>
              <w:rPr>
                <w:rFonts w:eastAsia="仿宋"/>
                <w:sz w:val="22"/>
              </w:rPr>
            </w:pPr>
            <w:r>
              <w:rPr>
                <w:rFonts w:eastAsia="仿宋"/>
                <w:sz w:val="22"/>
              </w:rPr>
              <w:t>4</w:t>
            </w:r>
            <w:r>
              <w:rPr>
                <w:rFonts w:hAnsi="仿宋" w:eastAsia="仿宋"/>
                <w:sz w:val="22"/>
              </w:rPr>
              <w:t>次</w:t>
            </w:r>
            <w:r>
              <w:rPr>
                <w:rFonts w:eastAsia="仿宋"/>
                <w:sz w:val="22"/>
              </w:rPr>
              <w:t>/</w:t>
            </w:r>
            <w:r>
              <w:rPr>
                <w:rFonts w:hAnsi="仿宋" w:eastAsia="仿宋"/>
                <w:sz w:val="22"/>
              </w:rPr>
              <w:t>天或与事故发生地同频次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4" w:type="dxa"/>
            <w:vMerge w:val="continue"/>
            <w:noWrap/>
            <w:vAlign w:val="center"/>
          </w:tcPr>
          <w:p>
            <w:pPr>
              <w:jc w:val="center"/>
              <w:rPr>
                <w:rFonts w:eastAsia="仿宋"/>
                <w:sz w:val="22"/>
              </w:rPr>
            </w:pPr>
          </w:p>
        </w:tc>
        <w:tc>
          <w:tcPr>
            <w:tcW w:w="4020" w:type="dxa"/>
            <w:noWrap/>
            <w:vAlign w:val="center"/>
          </w:tcPr>
          <w:p>
            <w:pPr>
              <w:jc w:val="left"/>
              <w:rPr>
                <w:rFonts w:eastAsia="仿宋"/>
                <w:sz w:val="22"/>
              </w:rPr>
            </w:pPr>
            <w:r>
              <w:rPr>
                <w:rFonts w:hAnsi="仿宋" w:eastAsia="仿宋"/>
                <w:sz w:val="22"/>
              </w:rPr>
              <w:t>事故发生地上风向对照点</w:t>
            </w:r>
          </w:p>
        </w:tc>
        <w:tc>
          <w:tcPr>
            <w:tcW w:w="3278" w:type="dxa"/>
            <w:noWrap/>
            <w:vAlign w:val="center"/>
          </w:tcPr>
          <w:p>
            <w:pPr>
              <w:jc w:val="left"/>
              <w:rPr>
                <w:rFonts w:eastAsia="仿宋"/>
                <w:sz w:val="22"/>
              </w:rPr>
            </w:pPr>
            <w:r>
              <w:rPr>
                <w:rFonts w:eastAsia="仿宋"/>
                <w:sz w:val="22"/>
              </w:rPr>
              <w:t>3</w:t>
            </w:r>
            <w:r>
              <w:rPr>
                <w:rFonts w:hAnsi="仿宋" w:eastAsia="仿宋"/>
                <w:sz w:val="22"/>
              </w:rPr>
              <w:t>次</w:t>
            </w:r>
            <w:r>
              <w:rPr>
                <w:rFonts w:eastAsia="仿宋"/>
                <w:sz w:val="22"/>
              </w:rPr>
              <w:t>/</w:t>
            </w:r>
            <w:r>
              <w:rPr>
                <w:rFonts w:hAnsi="仿宋" w:eastAsia="仿宋"/>
                <w:sz w:val="22"/>
              </w:rPr>
              <w:t>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4" w:type="dxa"/>
            <w:vMerge w:val="restart"/>
            <w:noWrap/>
            <w:vAlign w:val="center"/>
          </w:tcPr>
          <w:p>
            <w:pPr>
              <w:jc w:val="center"/>
              <w:rPr>
                <w:rFonts w:hAnsi="仿宋" w:eastAsia="仿宋"/>
                <w:sz w:val="22"/>
              </w:rPr>
            </w:pPr>
            <w:r>
              <w:rPr>
                <w:rFonts w:hint="eastAsia" w:hAnsi="仿宋" w:eastAsia="仿宋"/>
                <w:sz w:val="22"/>
              </w:rPr>
              <w:t>废水</w:t>
            </w:r>
          </w:p>
        </w:tc>
        <w:tc>
          <w:tcPr>
            <w:tcW w:w="4020" w:type="dxa"/>
            <w:noWrap/>
            <w:vAlign w:val="center"/>
          </w:tcPr>
          <w:p>
            <w:pPr>
              <w:jc w:val="left"/>
              <w:rPr>
                <w:rFonts w:hAnsi="仿宋" w:eastAsia="仿宋"/>
                <w:sz w:val="22"/>
              </w:rPr>
            </w:pPr>
            <w:r>
              <w:rPr>
                <w:rFonts w:hint="eastAsia" w:hAnsi="仿宋" w:eastAsia="仿宋"/>
                <w:sz w:val="22"/>
              </w:rPr>
              <w:t>雨水总排口</w:t>
            </w:r>
          </w:p>
        </w:tc>
        <w:tc>
          <w:tcPr>
            <w:tcW w:w="3278" w:type="dxa"/>
            <w:vMerge w:val="restart"/>
            <w:noWrap/>
            <w:vAlign w:val="center"/>
          </w:tcPr>
          <w:p>
            <w:pPr>
              <w:jc w:val="left"/>
              <w:rPr>
                <w:rFonts w:hAnsi="仿宋" w:eastAsia="仿宋"/>
                <w:sz w:val="22"/>
              </w:rPr>
            </w:pPr>
            <w:r>
              <w:rPr>
                <w:rFonts w:hint="eastAsia" w:hAnsi="仿宋" w:eastAsia="仿宋"/>
                <w:sz w:val="22"/>
              </w:rPr>
              <w:t>初始加密监测（2小时一次），随着污染物浓度的下降逐渐降低频次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4" w:type="dxa"/>
            <w:vMerge w:val="continue"/>
            <w:noWrap/>
            <w:vAlign w:val="center"/>
          </w:tcPr>
          <w:p>
            <w:pPr>
              <w:jc w:val="center"/>
              <w:rPr>
                <w:rFonts w:hAnsi="仿宋" w:eastAsia="仿宋"/>
                <w:sz w:val="22"/>
              </w:rPr>
            </w:pPr>
          </w:p>
        </w:tc>
        <w:tc>
          <w:tcPr>
            <w:tcW w:w="4020" w:type="dxa"/>
            <w:noWrap/>
            <w:vAlign w:val="center"/>
          </w:tcPr>
          <w:p>
            <w:pPr>
              <w:jc w:val="left"/>
              <w:rPr>
                <w:rFonts w:hAnsi="仿宋" w:eastAsia="仿宋"/>
                <w:sz w:val="22"/>
              </w:rPr>
            </w:pPr>
            <w:r>
              <w:rPr>
                <w:rFonts w:hint="eastAsia" w:hAnsi="仿宋" w:eastAsia="仿宋"/>
                <w:sz w:val="22"/>
              </w:rPr>
              <w:t>污水综排口</w:t>
            </w:r>
          </w:p>
        </w:tc>
        <w:tc>
          <w:tcPr>
            <w:tcW w:w="3278" w:type="dxa"/>
            <w:vMerge w:val="continue"/>
            <w:noWrap/>
            <w:vAlign w:val="center"/>
          </w:tcPr>
          <w:p>
            <w:pPr>
              <w:jc w:val="left"/>
              <w:rPr>
                <w:rFonts w:hAnsi="仿宋" w:eastAsia="仿宋"/>
                <w:sz w:val="22"/>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4" w:type="dxa"/>
            <w:vMerge w:val="restart"/>
            <w:noWrap/>
            <w:vAlign w:val="center"/>
          </w:tcPr>
          <w:p>
            <w:pPr>
              <w:jc w:val="center"/>
              <w:rPr>
                <w:rFonts w:eastAsia="仿宋"/>
                <w:sz w:val="22"/>
              </w:rPr>
            </w:pPr>
            <w:r>
              <w:rPr>
                <w:rFonts w:hAnsi="仿宋" w:eastAsia="仿宋"/>
                <w:sz w:val="22"/>
              </w:rPr>
              <w:t>地表水环境污染事故</w:t>
            </w:r>
          </w:p>
        </w:tc>
        <w:tc>
          <w:tcPr>
            <w:tcW w:w="4020" w:type="dxa"/>
            <w:noWrap/>
            <w:vAlign w:val="center"/>
          </w:tcPr>
          <w:p>
            <w:pPr>
              <w:jc w:val="left"/>
              <w:rPr>
                <w:rFonts w:eastAsia="仿宋"/>
                <w:sz w:val="22"/>
              </w:rPr>
            </w:pPr>
            <w:r>
              <w:rPr>
                <w:rFonts w:hint="eastAsia" w:hAnsi="仿宋" w:eastAsia="仿宋"/>
                <w:sz w:val="22"/>
              </w:rPr>
              <w:t>污水总排口下游500m</w:t>
            </w:r>
          </w:p>
        </w:tc>
        <w:tc>
          <w:tcPr>
            <w:tcW w:w="3278" w:type="dxa"/>
            <w:vMerge w:val="restart"/>
            <w:noWrap/>
            <w:vAlign w:val="center"/>
          </w:tcPr>
          <w:p>
            <w:pPr>
              <w:jc w:val="left"/>
              <w:rPr>
                <w:rFonts w:eastAsia="仿宋"/>
                <w:sz w:val="22"/>
              </w:rPr>
            </w:pPr>
            <w:r>
              <w:rPr>
                <w:rFonts w:hAnsi="仿宋" w:eastAsia="仿宋"/>
                <w:sz w:val="22"/>
              </w:rPr>
              <w:t>初始加密监测，频次</w:t>
            </w:r>
            <w:r>
              <w:rPr>
                <w:rFonts w:hint="eastAsia" w:eastAsia="仿宋"/>
                <w:sz w:val="22"/>
              </w:rPr>
              <w:t>6</w:t>
            </w:r>
            <w:r>
              <w:rPr>
                <w:rFonts w:hAnsi="仿宋" w:eastAsia="仿宋"/>
                <w:sz w:val="22"/>
              </w:rPr>
              <w:t>次</w:t>
            </w:r>
            <w:r>
              <w:rPr>
                <w:rFonts w:eastAsia="仿宋"/>
                <w:sz w:val="22"/>
              </w:rPr>
              <w:t>/</w:t>
            </w:r>
            <w:r>
              <w:rPr>
                <w:rFonts w:hAnsi="仿宋" w:eastAsia="仿宋"/>
                <w:sz w:val="22"/>
              </w:rPr>
              <w:t>天，随着污染物浓度的下降逐渐降低频次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4" w:type="dxa"/>
            <w:vMerge w:val="continue"/>
            <w:noWrap/>
            <w:vAlign w:val="center"/>
          </w:tcPr>
          <w:p>
            <w:pPr>
              <w:jc w:val="center"/>
              <w:rPr>
                <w:rFonts w:hAnsi="仿宋" w:eastAsia="仿宋"/>
                <w:sz w:val="22"/>
              </w:rPr>
            </w:pPr>
          </w:p>
        </w:tc>
        <w:tc>
          <w:tcPr>
            <w:tcW w:w="4020" w:type="dxa"/>
            <w:noWrap/>
            <w:vAlign w:val="center"/>
          </w:tcPr>
          <w:p>
            <w:pPr>
              <w:jc w:val="left"/>
              <w:rPr>
                <w:rFonts w:hAnsi="仿宋" w:eastAsia="仿宋"/>
                <w:sz w:val="22"/>
              </w:rPr>
            </w:pPr>
            <w:r>
              <w:rPr>
                <w:rFonts w:hint="eastAsia" w:hAnsi="仿宋" w:eastAsia="仿宋"/>
                <w:sz w:val="22"/>
              </w:rPr>
              <w:t>污水总排口下游1000m</w:t>
            </w:r>
          </w:p>
        </w:tc>
        <w:tc>
          <w:tcPr>
            <w:tcW w:w="3278" w:type="dxa"/>
            <w:vMerge w:val="continue"/>
            <w:noWrap/>
            <w:vAlign w:val="center"/>
          </w:tcPr>
          <w:p>
            <w:pPr>
              <w:jc w:val="left"/>
              <w:rPr>
                <w:rFonts w:hAnsi="仿宋" w:eastAsia="仿宋"/>
                <w:sz w:val="22"/>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4" w:type="dxa"/>
            <w:vMerge w:val="restart"/>
            <w:noWrap/>
            <w:vAlign w:val="center"/>
          </w:tcPr>
          <w:p>
            <w:pPr>
              <w:jc w:val="center"/>
              <w:rPr>
                <w:rFonts w:eastAsia="仿宋"/>
                <w:sz w:val="22"/>
              </w:rPr>
            </w:pPr>
            <w:r>
              <w:rPr>
                <w:rFonts w:hAnsi="仿宋" w:eastAsia="仿宋"/>
                <w:sz w:val="22"/>
              </w:rPr>
              <w:t>地下水污染事故</w:t>
            </w:r>
          </w:p>
        </w:tc>
        <w:tc>
          <w:tcPr>
            <w:tcW w:w="4020" w:type="dxa"/>
            <w:noWrap/>
            <w:vAlign w:val="center"/>
          </w:tcPr>
          <w:p>
            <w:pPr>
              <w:jc w:val="left"/>
              <w:rPr>
                <w:rFonts w:eastAsia="仿宋"/>
                <w:sz w:val="22"/>
              </w:rPr>
            </w:pPr>
            <w:r>
              <w:rPr>
                <w:rFonts w:hAnsi="仿宋" w:eastAsia="仿宋"/>
                <w:sz w:val="22"/>
              </w:rPr>
              <w:t>地下水事故发生地中心周围</w:t>
            </w:r>
            <w:r>
              <w:rPr>
                <w:rFonts w:eastAsia="仿宋"/>
                <w:sz w:val="22"/>
              </w:rPr>
              <w:t>2km</w:t>
            </w:r>
            <w:r>
              <w:rPr>
                <w:rFonts w:hAnsi="仿宋" w:eastAsia="仿宋"/>
                <w:sz w:val="22"/>
              </w:rPr>
              <w:t>内水井</w:t>
            </w:r>
          </w:p>
        </w:tc>
        <w:tc>
          <w:tcPr>
            <w:tcW w:w="3278" w:type="dxa"/>
            <w:vMerge w:val="restart"/>
            <w:noWrap/>
            <w:vAlign w:val="center"/>
          </w:tcPr>
          <w:p>
            <w:pPr>
              <w:jc w:val="left"/>
              <w:rPr>
                <w:rFonts w:eastAsia="仿宋"/>
                <w:sz w:val="22"/>
              </w:rPr>
            </w:pPr>
            <w:r>
              <w:rPr>
                <w:rFonts w:hAnsi="仿宋" w:eastAsia="仿宋"/>
                <w:sz w:val="22"/>
              </w:rPr>
              <w:t>初始</w:t>
            </w:r>
            <w:r>
              <w:rPr>
                <w:rFonts w:eastAsia="仿宋"/>
                <w:sz w:val="22"/>
              </w:rPr>
              <w:t>2</w:t>
            </w:r>
            <w:r>
              <w:rPr>
                <w:rFonts w:hAnsi="仿宋" w:eastAsia="仿宋"/>
                <w:sz w:val="22"/>
              </w:rPr>
              <w:t>次</w:t>
            </w:r>
            <w:r>
              <w:rPr>
                <w:rFonts w:eastAsia="仿宋"/>
                <w:sz w:val="22"/>
              </w:rPr>
              <w:t>/</w:t>
            </w:r>
            <w:r>
              <w:rPr>
                <w:rFonts w:hAnsi="仿宋" w:eastAsia="仿宋"/>
                <w:sz w:val="22"/>
              </w:rPr>
              <w:t>天，第三天后，</w:t>
            </w:r>
            <w:r>
              <w:rPr>
                <w:rFonts w:eastAsia="仿宋"/>
                <w:sz w:val="22"/>
              </w:rPr>
              <w:t>1</w:t>
            </w:r>
            <w:r>
              <w:rPr>
                <w:rFonts w:hAnsi="仿宋" w:eastAsia="仿宋"/>
                <w:sz w:val="22"/>
              </w:rPr>
              <w:t>次</w:t>
            </w:r>
            <w:r>
              <w:rPr>
                <w:rFonts w:eastAsia="仿宋"/>
                <w:sz w:val="22"/>
              </w:rPr>
              <w:t>/</w:t>
            </w:r>
            <w:r>
              <w:rPr>
                <w:rFonts w:hAnsi="仿宋" w:eastAsia="仿宋"/>
                <w:sz w:val="22"/>
              </w:rPr>
              <w:t>周直至应急结束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4" w:type="dxa"/>
            <w:vMerge w:val="continue"/>
            <w:noWrap/>
            <w:vAlign w:val="center"/>
          </w:tcPr>
          <w:p>
            <w:pPr>
              <w:jc w:val="center"/>
              <w:rPr>
                <w:rFonts w:eastAsia="仿宋"/>
                <w:sz w:val="22"/>
              </w:rPr>
            </w:pPr>
          </w:p>
        </w:tc>
        <w:tc>
          <w:tcPr>
            <w:tcW w:w="4020" w:type="dxa"/>
            <w:noWrap/>
            <w:vAlign w:val="center"/>
          </w:tcPr>
          <w:p>
            <w:pPr>
              <w:jc w:val="left"/>
              <w:rPr>
                <w:rFonts w:eastAsia="仿宋"/>
                <w:sz w:val="22"/>
              </w:rPr>
            </w:pPr>
            <w:r>
              <w:rPr>
                <w:rFonts w:hAnsi="仿宋" w:eastAsia="仿宋"/>
                <w:sz w:val="22"/>
              </w:rPr>
              <w:t>地下水流经区域沿线水井</w:t>
            </w:r>
          </w:p>
        </w:tc>
        <w:tc>
          <w:tcPr>
            <w:tcW w:w="3278" w:type="dxa"/>
            <w:vMerge w:val="continue"/>
            <w:noWrap/>
            <w:vAlign w:val="center"/>
          </w:tcPr>
          <w:p>
            <w:pPr>
              <w:jc w:val="left"/>
              <w:rPr>
                <w:rFonts w:eastAsia="仿宋"/>
                <w:sz w:val="22"/>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4" w:type="dxa"/>
            <w:vMerge w:val="continue"/>
            <w:noWrap/>
            <w:vAlign w:val="center"/>
          </w:tcPr>
          <w:p>
            <w:pPr>
              <w:jc w:val="center"/>
              <w:rPr>
                <w:rFonts w:eastAsia="仿宋"/>
                <w:sz w:val="22"/>
              </w:rPr>
            </w:pPr>
          </w:p>
        </w:tc>
        <w:tc>
          <w:tcPr>
            <w:tcW w:w="4020" w:type="dxa"/>
            <w:noWrap/>
            <w:vAlign w:val="center"/>
          </w:tcPr>
          <w:p>
            <w:pPr>
              <w:jc w:val="left"/>
              <w:rPr>
                <w:rFonts w:eastAsia="仿宋"/>
                <w:sz w:val="22"/>
              </w:rPr>
            </w:pPr>
            <w:r>
              <w:rPr>
                <w:rFonts w:hAnsi="仿宋" w:eastAsia="仿宋"/>
                <w:sz w:val="22"/>
              </w:rPr>
              <w:t>地下水事故发生地对照点</w:t>
            </w:r>
          </w:p>
        </w:tc>
        <w:tc>
          <w:tcPr>
            <w:tcW w:w="3278" w:type="dxa"/>
            <w:noWrap/>
            <w:vAlign w:val="center"/>
          </w:tcPr>
          <w:p>
            <w:pPr>
              <w:jc w:val="left"/>
              <w:rPr>
                <w:rFonts w:eastAsia="仿宋"/>
                <w:sz w:val="22"/>
              </w:rPr>
            </w:pPr>
            <w:r>
              <w:rPr>
                <w:rFonts w:eastAsia="仿宋"/>
                <w:sz w:val="22"/>
              </w:rPr>
              <w:t>1</w:t>
            </w:r>
            <w:r>
              <w:rPr>
                <w:rFonts w:hAnsi="仿宋" w:eastAsia="仿宋"/>
                <w:sz w:val="22"/>
              </w:rPr>
              <w:t>次</w:t>
            </w:r>
            <w:r>
              <w:rPr>
                <w:rFonts w:eastAsia="仿宋"/>
                <w:sz w:val="22"/>
              </w:rPr>
              <w:t>/</w:t>
            </w:r>
            <w:r>
              <w:rPr>
                <w:rFonts w:hAnsi="仿宋" w:eastAsia="仿宋"/>
                <w:sz w:val="22"/>
              </w:rPr>
              <w:t>应急期间，以平行双样数据为准。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24" w:type="dxa"/>
            <w:noWrap/>
            <w:vAlign w:val="center"/>
          </w:tcPr>
          <w:p>
            <w:pPr>
              <w:jc w:val="center"/>
              <w:rPr>
                <w:rFonts w:eastAsia="仿宋"/>
                <w:sz w:val="22"/>
              </w:rPr>
            </w:pPr>
            <w:r>
              <w:rPr>
                <w:rFonts w:hint="eastAsia" w:eastAsia="仿宋"/>
                <w:sz w:val="22"/>
              </w:rPr>
              <w:t>土壤</w:t>
            </w:r>
          </w:p>
        </w:tc>
        <w:tc>
          <w:tcPr>
            <w:tcW w:w="4020" w:type="dxa"/>
            <w:noWrap/>
            <w:vAlign w:val="center"/>
          </w:tcPr>
          <w:p>
            <w:pPr>
              <w:jc w:val="left"/>
              <w:rPr>
                <w:rFonts w:hAnsi="仿宋" w:eastAsia="仿宋"/>
                <w:sz w:val="22"/>
              </w:rPr>
            </w:pPr>
            <w:r>
              <w:rPr>
                <w:rFonts w:hint="eastAsia" w:hAnsi="仿宋" w:eastAsia="仿宋"/>
                <w:sz w:val="22"/>
              </w:rPr>
              <w:t>事故发生地受污染的区域和受事故污染水质灌溉的区域</w:t>
            </w:r>
          </w:p>
        </w:tc>
        <w:tc>
          <w:tcPr>
            <w:tcW w:w="3278" w:type="dxa"/>
            <w:noWrap/>
            <w:vAlign w:val="center"/>
          </w:tcPr>
          <w:p>
            <w:pPr>
              <w:jc w:val="left"/>
              <w:rPr>
                <w:rFonts w:eastAsia="仿宋"/>
                <w:sz w:val="22"/>
              </w:rPr>
            </w:pPr>
            <w:r>
              <w:rPr>
                <w:rFonts w:hint="eastAsia" w:eastAsia="仿宋"/>
                <w:sz w:val="22"/>
              </w:rPr>
              <w:t>事故后期监测 1 次</w:t>
            </w:r>
          </w:p>
        </w:tc>
      </w:tr>
    </w:tbl>
    <w:p>
      <w:pPr>
        <w:pStyle w:val="9"/>
        <w:spacing w:before="0" w:after="0" w:line="520" w:lineRule="exact"/>
        <w:ind w:left="0" w:firstLine="0"/>
        <w:rPr>
          <w:rFonts w:hAnsi="仿宋" w:eastAsia="仿宋"/>
        </w:rPr>
      </w:pPr>
      <w:r>
        <w:rPr>
          <w:rFonts w:hint="eastAsia" w:hAnsi="仿宋" w:eastAsia="仿宋"/>
        </w:rPr>
        <w:t>应急监测项目</w:t>
      </w:r>
    </w:p>
    <w:p>
      <w:pPr>
        <w:pStyle w:val="95"/>
        <w:spacing w:line="520" w:lineRule="exact"/>
        <w:ind w:firstLine="562"/>
        <w:rPr>
          <w:rFonts w:eastAsia="仿宋"/>
          <w:b w:val="0"/>
          <w:bCs w:val="0"/>
          <w:sz w:val="28"/>
          <w:szCs w:val="28"/>
        </w:rPr>
      </w:pPr>
      <w:r>
        <w:rPr>
          <w:rFonts w:hAnsi="仿宋" w:eastAsia="仿宋"/>
          <w:b w:val="0"/>
          <w:bCs w:val="0"/>
          <w:sz w:val="28"/>
          <w:szCs w:val="28"/>
        </w:rPr>
        <w:t>监测因子：泄漏物料和可能伴次生的有毒有害物品。</w:t>
      </w:r>
    </w:p>
    <w:p>
      <w:pPr>
        <w:pStyle w:val="95"/>
        <w:spacing w:line="520" w:lineRule="exact"/>
        <w:ind w:firstLine="562"/>
        <w:rPr>
          <w:rFonts w:eastAsia="仿宋"/>
          <w:b w:val="0"/>
          <w:bCs w:val="0"/>
          <w:sz w:val="28"/>
          <w:szCs w:val="28"/>
        </w:rPr>
      </w:pPr>
      <w:r>
        <w:rPr>
          <w:rFonts w:hAnsi="仿宋" w:eastAsia="仿宋"/>
          <w:b w:val="0"/>
          <w:bCs w:val="0"/>
          <w:sz w:val="28"/>
          <w:szCs w:val="28"/>
        </w:rPr>
        <w:t>水监测断面：根据布点原则和物料泄漏量、物料特性等具体确定。</w:t>
      </w:r>
    </w:p>
    <w:p>
      <w:pPr>
        <w:pStyle w:val="95"/>
        <w:spacing w:line="520" w:lineRule="exact"/>
        <w:ind w:firstLine="562"/>
        <w:rPr>
          <w:rFonts w:eastAsia="仿宋"/>
          <w:b w:val="0"/>
          <w:bCs w:val="0"/>
          <w:sz w:val="28"/>
          <w:szCs w:val="28"/>
        </w:rPr>
      </w:pPr>
      <w:r>
        <w:rPr>
          <w:rFonts w:hAnsi="仿宋" w:eastAsia="仿宋"/>
          <w:b w:val="0"/>
          <w:bCs w:val="0"/>
          <w:sz w:val="28"/>
          <w:szCs w:val="28"/>
        </w:rPr>
        <w:t>水监测频次：根据应急监测频次确定原则，监测水质变化情况，直到恢复正常。</w:t>
      </w:r>
    </w:p>
    <w:p>
      <w:pPr>
        <w:pStyle w:val="95"/>
        <w:spacing w:line="520" w:lineRule="exact"/>
        <w:ind w:firstLine="562"/>
        <w:rPr>
          <w:rFonts w:eastAsia="仿宋"/>
          <w:b w:val="0"/>
          <w:bCs w:val="0"/>
          <w:sz w:val="28"/>
          <w:szCs w:val="28"/>
        </w:rPr>
      </w:pPr>
      <w:r>
        <w:rPr>
          <w:rFonts w:hAnsi="仿宋" w:eastAsia="仿宋"/>
          <w:b w:val="0"/>
          <w:bCs w:val="0"/>
          <w:sz w:val="28"/>
          <w:szCs w:val="28"/>
        </w:rPr>
        <w:t>大气监测布点：厂界周围环境敏感保护目标（区域）。详见表</w:t>
      </w:r>
      <w:r>
        <w:rPr>
          <w:rFonts w:hint="eastAsia" w:eastAsia="仿宋"/>
          <w:b w:val="0"/>
          <w:bCs w:val="0"/>
          <w:sz w:val="28"/>
          <w:szCs w:val="28"/>
        </w:rPr>
        <w:t>7.6-2</w:t>
      </w:r>
      <w:r>
        <w:rPr>
          <w:rFonts w:hAnsi="仿宋" w:eastAsia="仿宋"/>
          <w:b w:val="0"/>
          <w:bCs w:val="0"/>
          <w:sz w:val="28"/>
          <w:szCs w:val="28"/>
        </w:rPr>
        <w:t>。</w:t>
      </w:r>
    </w:p>
    <w:p>
      <w:pPr>
        <w:pStyle w:val="32"/>
        <w:spacing w:line="240" w:lineRule="auto"/>
        <w:rPr>
          <w:rFonts w:eastAsia="仿宋"/>
          <w:b w:val="0"/>
          <w:bCs w:val="0"/>
          <w:snapToGrid/>
          <w:kern w:val="2"/>
          <w:sz w:val="28"/>
          <w:szCs w:val="28"/>
        </w:rPr>
      </w:pPr>
      <w:r>
        <w:rPr>
          <w:rFonts w:hint="eastAsia" w:eastAsia="仿宋"/>
          <w:b w:val="0"/>
          <w:bCs w:val="0"/>
          <w:snapToGrid/>
          <w:kern w:val="2"/>
          <w:sz w:val="28"/>
          <w:szCs w:val="28"/>
        </w:rPr>
        <w:t>表7.6-2  环境空气监测点位</w:t>
      </w:r>
    </w:p>
    <w:tbl>
      <w:tblPr>
        <w:tblStyle w:val="35"/>
        <w:tblW w:w="4997"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45"/>
        <w:gridCol w:w="2176"/>
        <w:gridCol w:w="652"/>
        <w:gridCol w:w="653"/>
        <w:gridCol w:w="995"/>
        <w:gridCol w:w="1196"/>
        <w:gridCol w:w="654"/>
        <w:gridCol w:w="888"/>
        <w:gridCol w:w="76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207" w:type="pct"/>
            <w:vMerge w:val="restart"/>
            <w:noWrap/>
            <w:vAlign w:val="center"/>
          </w:tcPr>
          <w:p>
            <w:pPr>
              <w:adjustRightInd w:val="0"/>
              <w:snapToGrid w:val="0"/>
              <w:ind w:left="-105" w:leftChars="-50" w:right="-105" w:rightChars="-50"/>
              <w:jc w:val="center"/>
              <w:rPr>
                <w:rFonts w:eastAsia="仿宋"/>
                <w:b/>
              </w:rPr>
            </w:pPr>
            <w:r>
              <w:rPr>
                <w:rFonts w:eastAsia="仿宋"/>
                <w:b/>
              </w:rPr>
              <w:t>环境要素</w:t>
            </w:r>
          </w:p>
        </w:tc>
        <w:tc>
          <w:tcPr>
            <w:tcW w:w="920" w:type="pct"/>
            <w:vMerge w:val="restart"/>
            <w:noWrap/>
            <w:vAlign w:val="center"/>
          </w:tcPr>
          <w:p>
            <w:pPr>
              <w:adjustRightInd w:val="0"/>
              <w:snapToGrid w:val="0"/>
              <w:ind w:left="-105" w:leftChars="-50" w:right="-105" w:rightChars="-50"/>
              <w:jc w:val="center"/>
              <w:rPr>
                <w:rFonts w:eastAsia="仿宋"/>
                <w:b/>
              </w:rPr>
            </w:pPr>
            <w:r>
              <w:rPr>
                <w:rFonts w:eastAsia="仿宋"/>
                <w:b/>
              </w:rPr>
              <w:t>保护目标名称</w:t>
            </w:r>
          </w:p>
        </w:tc>
        <w:tc>
          <w:tcPr>
            <w:tcW w:w="1074" w:type="pct"/>
            <w:gridSpan w:val="2"/>
            <w:noWrap/>
            <w:vAlign w:val="center"/>
          </w:tcPr>
          <w:p>
            <w:pPr>
              <w:adjustRightInd w:val="0"/>
              <w:snapToGrid w:val="0"/>
              <w:ind w:left="-105" w:leftChars="-50" w:right="-105" w:rightChars="-50"/>
              <w:jc w:val="center"/>
              <w:rPr>
                <w:rFonts w:eastAsia="仿宋"/>
                <w:b/>
              </w:rPr>
            </w:pPr>
            <w:r>
              <w:rPr>
                <w:rFonts w:eastAsia="仿宋"/>
                <w:b/>
              </w:rPr>
              <w:t>距离厂址最近点位坐标</w:t>
            </w:r>
          </w:p>
        </w:tc>
        <w:tc>
          <w:tcPr>
            <w:tcW w:w="838" w:type="pct"/>
            <w:vMerge w:val="restart"/>
            <w:noWrap/>
            <w:vAlign w:val="center"/>
          </w:tcPr>
          <w:p>
            <w:pPr>
              <w:adjustRightInd w:val="0"/>
              <w:snapToGrid w:val="0"/>
              <w:ind w:left="-105" w:leftChars="-50" w:right="-105" w:rightChars="-50"/>
              <w:jc w:val="center"/>
              <w:rPr>
                <w:rFonts w:eastAsia="仿宋"/>
                <w:b/>
              </w:rPr>
            </w:pPr>
            <w:r>
              <w:rPr>
                <w:rFonts w:eastAsia="仿宋"/>
                <w:b/>
              </w:rPr>
              <w:t>保护对象</w:t>
            </w:r>
          </w:p>
        </w:tc>
        <w:tc>
          <w:tcPr>
            <w:tcW w:w="456" w:type="pct"/>
            <w:vMerge w:val="restart"/>
            <w:noWrap/>
            <w:vAlign w:val="center"/>
          </w:tcPr>
          <w:p>
            <w:pPr>
              <w:adjustRightInd w:val="0"/>
              <w:snapToGrid w:val="0"/>
              <w:ind w:left="-105" w:leftChars="-50" w:right="-105" w:rightChars="-50"/>
              <w:jc w:val="center"/>
              <w:rPr>
                <w:rFonts w:eastAsia="仿宋"/>
                <w:b/>
              </w:rPr>
            </w:pPr>
            <w:r>
              <w:rPr>
                <w:rFonts w:eastAsia="仿宋"/>
                <w:b/>
              </w:rPr>
              <w:t>保护内容</w:t>
            </w:r>
          </w:p>
        </w:tc>
        <w:tc>
          <w:tcPr>
            <w:tcW w:w="385" w:type="pct"/>
            <w:vMerge w:val="restart"/>
            <w:noWrap/>
            <w:vAlign w:val="center"/>
          </w:tcPr>
          <w:p>
            <w:pPr>
              <w:adjustRightInd w:val="0"/>
              <w:snapToGrid w:val="0"/>
              <w:ind w:left="-105" w:leftChars="-50" w:right="-105" w:rightChars="-50"/>
              <w:jc w:val="center"/>
              <w:rPr>
                <w:rFonts w:eastAsia="仿宋"/>
                <w:b/>
              </w:rPr>
            </w:pPr>
            <w:r>
              <w:rPr>
                <w:rFonts w:eastAsia="仿宋"/>
                <w:b/>
              </w:rPr>
              <w:t>环境功能区</w:t>
            </w:r>
          </w:p>
        </w:tc>
        <w:tc>
          <w:tcPr>
            <w:tcW w:w="391" w:type="pct"/>
            <w:vMerge w:val="restart"/>
            <w:noWrap/>
            <w:vAlign w:val="center"/>
          </w:tcPr>
          <w:p>
            <w:pPr>
              <w:adjustRightInd w:val="0"/>
              <w:snapToGrid w:val="0"/>
              <w:ind w:left="-105" w:leftChars="-50" w:right="-105" w:rightChars="-50"/>
              <w:jc w:val="center"/>
              <w:rPr>
                <w:rFonts w:eastAsia="仿宋"/>
                <w:b/>
              </w:rPr>
            </w:pPr>
            <w:r>
              <w:rPr>
                <w:rFonts w:eastAsia="仿宋"/>
                <w:b/>
              </w:rPr>
              <w:t>相对厂址方位</w:t>
            </w:r>
          </w:p>
        </w:tc>
        <w:tc>
          <w:tcPr>
            <w:tcW w:w="725" w:type="pct"/>
            <w:vMerge w:val="restart"/>
            <w:noWrap/>
            <w:vAlign w:val="center"/>
          </w:tcPr>
          <w:p>
            <w:pPr>
              <w:adjustRightInd w:val="0"/>
              <w:snapToGrid w:val="0"/>
              <w:ind w:left="-105" w:leftChars="-50" w:right="-105" w:rightChars="-50"/>
              <w:jc w:val="center"/>
              <w:rPr>
                <w:rFonts w:eastAsia="仿宋"/>
                <w:b/>
              </w:rPr>
            </w:pPr>
            <w:r>
              <w:rPr>
                <w:rFonts w:eastAsia="仿宋"/>
                <w:b/>
              </w:rPr>
              <w:t>相对厂界距离</w:t>
            </w:r>
          </w:p>
          <w:p>
            <w:pPr>
              <w:adjustRightInd w:val="0"/>
              <w:snapToGrid w:val="0"/>
              <w:ind w:left="-105" w:leftChars="-50" w:right="-105" w:rightChars="-50"/>
              <w:jc w:val="center"/>
              <w:rPr>
                <w:rFonts w:eastAsia="仿宋"/>
                <w:b/>
              </w:rPr>
            </w:pPr>
            <w:r>
              <w:rPr>
                <w:rFonts w:eastAsia="仿宋"/>
                <w:b/>
              </w:rPr>
              <w:t>/m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207" w:type="pct"/>
            <w:vMerge w:val="continue"/>
            <w:noWrap/>
            <w:vAlign w:val="center"/>
          </w:tcPr>
          <w:p>
            <w:pPr>
              <w:adjustRightInd w:val="0"/>
              <w:snapToGrid w:val="0"/>
              <w:ind w:left="-105" w:leftChars="-50" w:right="-105" w:rightChars="-50"/>
              <w:jc w:val="center"/>
              <w:rPr>
                <w:rFonts w:eastAsia="仿宋"/>
                <w:b/>
              </w:rPr>
            </w:pPr>
          </w:p>
        </w:tc>
        <w:tc>
          <w:tcPr>
            <w:tcW w:w="920" w:type="pct"/>
            <w:vMerge w:val="continue"/>
            <w:noWrap/>
            <w:vAlign w:val="center"/>
          </w:tcPr>
          <w:p>
            <w:pPr>
              <w:adjustRightInd w:val="0"/>
              <w:snapToGrid w:val="0"/>
              <w:ind w:left="-105" w:leftChars="-50" w:right="-105" w:rightChars="-50"/>
              <w:jc w:val="center"/>
              <w:rPr>
                <w:rFonts w:eastAsia="仿宋"/>
                <w:b/>
              </w:rPr>
            </w:pPr>
          </w:p>
        </w:tc>
        <w:tc>
          <w:tcPr>
            <w:tcW w:w="536" w:type="pct"/>
            <w:noWrap/>
            <w:vAlign w:val="center"/>
          </w:tcPr>
          <w:p>
            <w:pPr>
              <w:adjustRightInd w:val="0"/>
              <w:snapToGrid w:val="0"/>
              <w:ind w:left="-105" w:leftChars="-50" w:right="-105" w:rightChars="-50"/>
              <w:jc w:val="center"/>
              <w:rPr>
                <w:rFonts w:eastAsia="仿宋"/>
                <w:b/>
              </w:rPr>
            </w:pPr>
            <w:r>
              <w:rPr>
                <w:rFonts w:eastAsia="仿宋"/>
                <w:b/>
              </w:rPr>
              <w:t>经度</w:t>
            </w:r>
          </w:p>
        </w:tc>
        <w:tc>
          <w:tcPr>
            <w:tcW w:w="537" w:type="pct"/>
            <w:noWrap/>
            <w:vAlign w:val="center"/>
          </w:tcPr>
          <w:p>
            <w:pPr>
              <w:adjustRightInd w:val="0"/>
              <w:snapToGrid w:val="0"/>
              <w:ind w:left="-105" w:leftChars="-50" w:right="-105" w:rightChars="-50"/>
              <w:jc w:val="center"/>
              <w:rPr>
                <w:rFonts w:eastAsia="仿宋"/>
                <w:b/>
              </w:rPr>
            </w:pPr>
            <w:r>
              <w:rPr>
                <w:rFonts w:eastAsia="仿宋"/>
                <w:b/>
              </w:rPr>
              <w:t>纬度</w:t>
            </w:r>
          </w:p>
        </w:tc>
        <w:tc>
          <w:tcPr>
            <w:tcW w:w="838" w:type="pct"/>
            <w:vMerge w:val="continue"/>
            <w:noWrap/>
            <w:vAlign w:val="center"/>
          </w:tcPr>
          <w:p>
            <w:pPr>
              <w:adjustRightInd w:val="0"/>
              <w:snapToGrid w:val="0"/>
              <w:ind w:left="-105" w:leftChars="-50" w:right="-105" w:rightChars="-50"/>
              <w:jc w:val="center"/>
              <w:rPr>
                <w:rFonts w:eastAsia="仿宋"/>
                <w:b/>
              </w:rPr>
            </w:pPr>
          </w:p>
        </w:tc>
        <w:tc>
          <w:tcPr>
            <w:tcW w:w="456" w:type="pct"/>
            <w:vMerge w:val="continue"/>
            <w:noWrap/>
            <w:vAlign w:val="center"/>
          </w:tcPr>
          <w:p>
            <w:pPr>
              <w:adjustRightInd w:val="0"/>
              <w:snapToGrid w:val="0"/>
              <w:ind w:left="-105" w:leftChars="-50" w:right="-105" w:rightChars="-50"/>
              <w:jc w:val="center"/>
              <w:rPr>
                <w:rFonts w:eastAsia="仿宋"/>
                <w:b/>
              </w:rPr>
            </w:pPr>
          </w:p>
        </w:tc>
        <w:tc>
          <w:tcPr>
            <w:tcW w:w="385" w:type="pct"/>
            <w:vMerge w:val="continue"/>
            <w:noWrap/>
            <w:vAlign w:val="center"/>
          </w:tcPr>
          <w:p>
            <w:pPr>
              <w:adjustRightInd w:val="0"/>
              <w:snapToGrid w:val="0"/>
              <w:ind w:left="-105" w:leftChars="-50" w:right="-105" w:rightChars="-50"/>
              <w:jc w:val="center"/>
              <w:rPr>
                <w:rFonts w:eastAsia="仿宋"/>
                <w:b/>
              </w:rPr>
            </w:pPr>
          </w:p>
        </w:tc>
        <w:tc>
          <w:tcPr>
            <w:tcW w:w="391" w:type="pct"/>
            <w:vMerge w:val="continue"/>
            <w:noWrap/>
            <w:vAlign w:val="center"/>
          </w:tcPr>
          <w:p>
            <w:pPr>
              <w:adjustRightInd w:val="0"/>
              <w:snapToGrid w:val="0"/>
              <w:ind w:left="-105" w:leftChars="-50" w:right="-105" w:rightChars="-50"/>
              <w:jc w:val="center"/>
              <w:rPr>
                <w:rFonts w:eastAsia="仿宋"/>
                <w:b/>
              </w:rPr>
            </w:pPr>
          </w:p>
        </w:tc>
        <w:tc>
          <w:tcPr>
            <w:tcW w:w="725" w:type="pct"/>
            <w:vMerge w:val="continue"/>
            <w:noWrap/>
            <w:vAlign w:val="center"/>
          </w:tcPr>
          <w:p>
            <w:pPr>
              <w:adjustRightInd w:val="0"/>
              <w:snapToGrid w:val="0"/>
              <w:ind w:left="-105" w:leftChars="-50" w:right="-105" w:rightChars="-50"/>
              <w:jc w:val="center"/>
              <w:rPr>
                <w:rFonts w:eastAsia="仿宋"/>
                <w:b/>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restart"/>
            <w:noWrap/>
            <w:vAlign w:val="center"/>
          </w:tcPr>
          <w:p>
            <w:pPr>
              <w:adjustRightInd w:val="0"/>
              <w:snapToGrid w:val="0"/>
              <w:ind w:left="-105" w:leftChars="-50" w:right="-105" w:rightChars="-50"/>
              <w:jc w:val="center"/>
              <w:rPr>
                <w:rFonts w:eastAsia="仿宋"/>
              </w:rPr>
            </w:pPr>
            <w:r>
              <w:rPr>
                <w:rFonts w:eastAsia="仿宋"/>
              </w:rPr>
              <w:t>环境空气</w:t>
            </w:r>
          </w:p>
        </w:tc>
        <w:tc>
          <w:tcPr>
            <w:tcW w:w="920" w:type="pct"/>
            <w:noWrap/>
            <w:vAlign w:val="center"/>
          </w:tcPr>
          <w:p>
            <w:pPr>
              <w:adjustRightInd w:val="0"/>
              <w:snapToGrid w:val="0"/>
              <w:ind w:left="-105" w:leftChars="-50" w:right="-105" w:rightChars="-50"/>
              <w:jc w:val="center"/>
              <w:rPr>
                <w:rFonts w:eastAsia="仿宋"/>
              </w:rPr>
            </w:pPr>
            <w:r>
              <w:rPr>
                <w:rFonts w:eastAsia="仿宋"/>
              </w:rPr>
              <w:t>七里社区居民集中区</w:t>
            </w:r>
          </w:p>
        </w:tc>
        <w:tc>
          <w:tcPr>
            <w:tcW w:w="536" w:type="pct"/>
            <w:noWrap/>
            <w:vAlign w:val="center"/>
          </w:tcPr>
          <w:p>
            <w:pPr>
              <w:adjustRightInd w:val="0"/>
              <w:snapToGrid w:val="0"/>
              <w:ind w:left="-105" w:leftChars="-50" w:right="-105" w:rightChars="-50"/>
              <w:jc w:val="center"/>
              <w:rPr>
                <w:rFonts w:eastAsia="仿宋"/>
              </w:rPr>
            </w:pPr>
            <w:r>
              <w:rPr>
                <w:rFonts w:eastAsia="仿宋"/>
              </w:rPr>
              <w:t>111.593617</w:t>
            </w:r>
          </w:p>
        </w:tc>
        <w:tc>
          <w:tcPr>
            <w:tcW w:w="537" w:type="pct"/>
            <w:noWrap/>
            <w:vAlign w:val="center"/>
          </w:tcPr>
          <w:p>
            <w:pPr>
              <w:adjustRightInd w:val="0"/>
              <w:snapToGrid w:val="0"/>
              <w:ind w:left="-105" w:leftChars="-50" w:right="-105" w:rightChars="-50"/>
              <w:jc w:val="center"/>
              <w:rPr>
                <w:rFonts w:eastAsia="仿宋"/>
              </w:rPr>
            </w:pPr>
            <w:r>
              <w:rPr>
                <w:rFonts w:eastAsia="仿宋"/>
              </w:rPr>
              <w:t>31.133094</w:t>
            </w:r>
          </w:p>
        </w:tc>
        <w:tc>
          <w:tcPr>
            <w:tcW w:w="838" w:type="pct"/>
            <w:noWrap/>
            <w:vAlign w:val="center"/>
          </w:tcPr>
          <w:p>
            <w:pPr>
              <w:adjustRightInd w:val="0"/>
              <w:snapToGrid w:val="0"/>
              <w:ind w:left="-105" w:leftChars="-50" w:right="-105" w:rightChars="-50"/>
              <w:jc w:val="center"/>
              <w:rPr>
                <w:rFonts w:eastAsia="仿宋"/>
              </w:rPr>
            </w:pPr>
            <w:r>
              <w:rPr>
                <w:rFonts w:eastAsia="仿宋"/>
              </w:rPr>
              <w:t>约350户，880人</w:t>
            </w:r>
          </w:p>
        </w:tc>
        <w:tc>
          <w:tcPr>
            <w:tcW w:w="456" w:type="pct"/>
            <w:vMerge w:val="restart"/>
            <w:noWrap/>
            <w:vAlign w:val="center"/>
          </w:tcPr>
          <w:p>
            <w:pPr>
              <w:adjustRightInd w:val="0"/>
              <w:snapToGrid w:val="0"/>
              <w:ind w:left="-105" w:leftChars="-50" w:right="-105" w:rightChars="-50"/>
              <w:jc w:val="center"/>
              <w:rPr>
                <w:rFonts w:eastAsia="仿宋"/>
              </w:rPr>
            </w:pPr>
            <w:r>
              <w:rPr>
                <w:rFonts w:eastAsia="仿宋"/>
              </w:rPr>
              <w:t>居住环境环境空气质量</w:t>
            </w:r>
          </w:p>
          <w:p>
            <w:pPr>
              <w:adjustRightInd w:val="0"/>
              <w:snapToGrid w:val="0"/>
              <w:ind w:left="-105" w:leftChars="-50" w:right="-105" w:rightChars="-50"/>
              <w:rPr>
                <w:rFonts w:eastAsia="仿宋"/>
              </w:rPr>
            </w:pPr>
          </w:p>
        </w:tc>
        <w:tc>
          <w:tcPr>
            <w:tcW w:w="385" w:type="pct"/>
            <w:vMerge w:val="restart"/>
            <w:noWrap/>
            <w:vAlign w:val="center"/>
          </w:tcPr>
          <w:p>
            <w:pPr>
              <w:adjustRightInd w:val="0"/>
              <w:snapToGrid w:val="0"/>
              <w:ind w:left="-105" w:leftChars="-50" w:right="-105" w:rightChars="-50"/>
              <w:jc w:val="center"/>
              <w:rPr>
                <w:rFonts w:eastAsia="仿宋"/>
              </w:rPr>
            </w:pPr>
            <w:r>
              <w:rPr>
                <w:rFonts w:eastAsia="仿宋"/>
              </w:rPr>
              <w:t>二级</w:t>
            </w:r>
          </w:p>
        </w:tc>
        <w:tc>
          <w:tcPr>
            <w:tcW w:w="391" w:type="pct"/>
            <w:noWrap/>
            <w:vAlign w:val="center"/>
          </w:tcPr>
          <w:p>
            <w:pPr>
              <w:adjustRightInd w:val="0"/>
              <w:snapToGrid w:val="0"/>
              <w:ind w:left="-105" w:leftChars="-50" w:right="-105" w:rightChars="-50"/>
              <w:jc w:val="center"/>
              <w:rPr>
                <w:rFonts w:eastAsia="仿宋"/>
              </w:rPr>
            </w:pPr>
            <w:r>
              <w:rPr>
                <w:rFonts w:eastAsia="仿宋"/>
              </w:rPr>
              <w:t>N、NNE、NNW</w:t>
            </w:r>
          </w:p>
        </w:tc>
        <w:tc>
          <w:tcPr>
            <w:tcW w:w="725" w:type="pct"/>
            <w:noWrap/>
            <w:vAlign w:val="center"/>
          </w:tcPr>
          <w:p>
            <w:pPr>
              <w:adjustRightInd w:val="0"/>
              <w:snapToGrid w:val="0"/>
              <w:ind w:left="-105" w:leftChars="-50" w:right="-105" w:rightChars="-50"/>
              <w:jc w:val="center"/>
              <w:rPr>
                <w:rFonts w:eastAsia="仿宋"/>
              </w:rPr>
            </w:pPr>
            <w:r>
              <w:rPr>
                <w:rFonts w:eastAsia="仿宋"/>
              </w:rPr>
              <w:t>1000-1500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七里社区散住农户</w:t>
            </w:r>
          </w:p>
        </w:tc>
        <w:tc>
          <w:tcPr>
            <w:tcW w:w="536" w:type="pct"/>
            <w:noWrap/>
            <w:vAlign w:val="center"/>
          </w:tcPr>
          <w:p>
            <w:pPr>
              <w:adjustRightInd w:val="0"/>
              <w:snapToGrid w:val="0"/>
              <w:ind w:left="-105" w:leftChars="-50" w:right="-105" w:rightChars="-50"/>
              <w:jc w:val="center"/>
              <w:rPr>
                <w:rFonts w:eastAsia="仿宋"/>
              </w:rPr>
            </w:pPr>
            <w:r>
              <w:rPr>
                <w:rFonts w:eastAsia="仿宋"/>
              </w:rPr>
              <w:t>111.592898</w:t>
            </w:r>
          </w:p>
        </w:tc>
        <w:tc>
          <w:tcPr>
            <w:tcW w:w="537" w:type="pct"/>
            <w:noWrap/>
            <w:vAlign w:val="center"/>
          </w:tcPr>
          <w:p>
            <w:pPr>
              <w:adjustRightInd w:val="0"/>
              <w:snapToGrid w:val="0"/>
              <w:ind w:left="-105" w:leftChars="-50" w:right="-105" w:rightChars="-50"/>
              <w:jc w:val="center"/>
              <w:rPr>
                <w:rFonts w:eastAsia="仿宋"/>
              </w:rPr>
            </w:pPr>
            <w:r>
              <w:rPr>
                <w:rFonts w:eastAsia="仿宋"/>
              </w:rPr>
              <w:t>31.13188</w:t>
            </w:r>
          </w:p>
        </w:tc>
        <w:tc>
          <w:tcPr>
            <w:tcW w:w="838" w:type="pct"/>
            <w:noWrap/>
            <w:vAlign w:val="center"/>
          </w:tcPr>
          <w:p>
            <w:pPr>
              <w:adjustRightInd w:val="0"/>
              <w:snapToGrid w:val="0"/>
              <w:ind w:left="-105" w:leftChars="-50" w:right="-105" w:rightChars="-50"/>
              <w:jc w:val="center"/>
              <w:rPr>
                <w:rFonts w:eastAsia="仿宋"/>
              </w:rPr>
            </w:pPr>
            <w:r>
              <w:rPr>
                <w:rFonts w:eastAsia="仿宋"/>
              </w:rPr>
              <w:t>4户，10人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N</w:t>
            </w:r>
          </w:p>
        </w:tc>
        <w:tc>
          <w:tcPr>
            <w:tcW w:w="725" w:type="pct"/>
            <w:noWrap/>
            <w:vAlign w:val="center"/>
          </w:tcPr>
          <w:p>
            <w:pPr>
              <w:adjustRightInd w:val="0"/>
              <w:snapToGrid w:val="0"/>
              <w:ind w:left="-105" w:leftChars="-50" w:right="-105" w:rightChars="-50"/>
              <w:jc w:val="center"/>
              <w:rPr>
                <w:rFonts w:eastAsia="仿宋"/>
              </w:rPr>
            </w:pPr>
            <w:r>
              <w:rPr>
                <w:rFonts w:eastAsia="仿宋"/>
              </w:rPr>
              <w:t>700-985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杨家坝、傅家台、张家台、傅家坝散住农户</w:t>
            </w:r>
          </w:p>
        </w:tc>
        <w:tc>
          <w:tcPr>
            <w:tcW w:w="536" w:type="pct"/>
            <w:noWrap/>
            <w:vAlign w:val="center"/>
          </w:tcPr>
          <w:p>
            <w:pPr>
              <w:adjustRightInd w:val="0"/>
              <w:snapToGrid w:val="0"/>
              <w:ind w:left="-105" w:leftChars="-50" w:right="-105" w:rightChars="-50"/>
              <w:jc w:val="center"/>
              <w:rPr>
                <w:rFonts w:eastAsia="仿宋"/>
              </w:rPr>
            </w:pPr>
            <w:r>
              <w:rPr>
                <w:rFonts w:eastAsia="仿宋"/>
              </w:rPr>
              <w:t>111.586676</w:t>
            </w:r>
          </w:p>
        </w:tc>
        <w:tc>
          <w:tcPr>
            <w:tcW w:w="537" w:type="pct"/>
            <w:noWrap/>
            <w:vAlign w:val="center"/>
          </w:tcPr>
          <w:p>
            <w:pPr>
              <w:adjustRightInd w:val="0"/>
              <w:snapToGrid w:val="0"/>
              <w:ind w:left="-105" w:leftChars="-50" w:right="-105" w:rightChars="-50"/>
              <w:jc w:val="center"/>
              <w:rPr>
                <w:rFonts w:eastAsia="仿宋"/>
              </w:rPr>
            </w:pPr>
            <w:r>
              <w:rPr>
                <w:rFonts w:eastAsia="仿宋"/>
              </w:rPr>
              <w:t>31.123387</w:t>
            </w:r>
          </w:p>
        </w:tc>
        <w:tc>
          <w:tcPr>
            <w:tcW w:w="838" w:type="pct"/>
            <w:noWrap/>
            <w:vAlign w:val="center"/>
          </w:tcPr>
          <w:p>
            <w:pPr>
              <w:adjustRightInd w:val="0"/>
              <w:snapToGrid w:val="0"/>
              <w:ind w:left="-105" w:leftChars="-50" w:right="-105" w:rightChars="-50"/>
              <w:jc w:val="center"/>
              <w:rPr>
                <w:rFonts w:eastAsia="仿宋"/>
              </w:rPr>
            </w:pPr>
            <w:r>
              <w:rPr>
                <w:rFonts w:eastAsia="仿宋"/>
              </w:rPr>
              <w:t>约60户，150人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SW、SSW、S</w:t>
            </w:r>
          </w:p>
        </w:tc>
        <w:tc>
          <w:tcPr>
            <w:tcW w:w="725" w:type="pct"/>
            <w:noWrap/>
            <w:vAlign w:val="center"/>
          </w:tcPr>
          <w:p>
            <w:pPr>
              <w:adjustRightInd w:val="0"/>
              <w:snapToGrid w:val="0"/>
              <w:ind w:left="-105" w:leftChars="-50" w:right="-105" w:rightChars="-50"/>
              <w:jc w:val="center"/>
              <w:rPr>
                <w:rFonts w:eastAsia="仿宋"/>
              </w:rPr>
            </w:pPr>
            <w:r>
              <w:rPr>
                <w:rFonts w:eastAsia="仿宋"/>
              </w:rPr>
              <w:t>800-1600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车家冲农户聚集区</w:t>
            </w:r>
          </w:p>
        </w:tc>
        <w:tc>
          <w:tcPr>
            <w:tcW w:w="536" w:type="pct"/>
            <w:noWrap/>
            <w:vAlign w:val="center"/>
          </w:tcPr>
          <w:p>
            <w:pPr>
              <w:adjustRightInd w:val="0"/>
              <w:snapToGrid w:val="0"/>
              <w:ind w:left="-105" w:leftChars="-50" w:right="-105" w:rightChars="-50"/>
              <w:jc w:val="center"/>
              <w:rPr>
                <w:rFonts w:eastAsia="仿宋"/>
              </w:rPr>
            </w:pPr>
            <w:r>
              <w:rPr>
                <w:rFonts w:eastAsia="仿宋"/>
              </w:rPr>
              <w:t>111.590130</w:t>
            </w:r>
          </w:p>
        </w:tc>
        <w:tc>
          <w:tcPr>
            <w:tcW w:w="537" w:type="pct"/>
            <w:noWrap/>
            <w:vAlign w:val="center"/>
          </w:tcPr>
          <w:p>
            <w:pPr>
              <w:adjustRightInd w:val="0"/>
              <w:snapToGrid w:val="0"/>
              <w:ind w:left="-105" w:leftChars="-50" w:right="-105" w:rightChars="-50"/>
              <w:jc w:val="center"/>
              <w:rPr>
                <w:rFonts w:eastAsia="仿宋"/>
              </w:rPr>
            </w:pPr>
            <w:r>
              <w:rPr>
                <w:rFonts w:eastAsia="仿宋"/>
              </w:rPr>
              <w:t>31.134885</w:t>
            </w:r>
          </w:p>
        </w:tc>
        <w:tc>
          <w:tcPr>
            <w:tcW w:w="838" w:type="pct"/>
            <w:noWrap/>
            <w:vAlign w:val="center"/>
          </w:tcPr>
          <w:p>
            <w:pPr>
              <w:adjustRightInd w:val="0"/>
              <w:snapToGrid w:val="0"/>
              <w:ind w:left="-105" w:leftChars="-50" w:right="-105" w:rightChars="-50"/>
              <w:jc w:val="center"/>
              <w:rPr>
                <w:rFonts w:eastAsia="仿宋"/>
              </w:rPr>
            </w:pPr>
            <w:r>
              <w:rPr>
                <w:rFonts w:eastAsia="仿宋"/>
              </w:rPr>
              <w:t>约50户，130人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NW</w:t>
            </w:r>
          </w:p>
        </w:tc>
        <w:tc>
          <w:tcPr>
            <w:tcW w:w="725" w:type="pct"/>
            <w:noWrap/>
            <w:vAlign w:val="center"/>
          </w:tcPr>
          <w:p>
            <w:pPr>
              <w:adjustRightInd w:val="0"/>
              <w:snapToGrid w:val="0"/>
              <w:ind w:left="-105" w:leftChars="-50" w:right="-105" w:rightChars="-50"/>
              <w:jc w:val="center"/>
              <w:rPr>
                <w:rFonts w:eastAsia="仿宋"/>
              </w:rPr>
            </w:pPr>
            <w:r>
              <w:rPr>
                <w:rFonts w:eastAsia="仿宋"/>
              </w:rPr>
              <w:t>1000-1200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张家湾、吴家坝农户聚集区</w:t>
            </w:r>
          </w:p>
        </w:tc>
        <w:tc>
          <w:tcPr>
            <w:tcW w:w="536" w:type="pct"/>
            <w:noWrap/>
            <w:vAlign w:val="center"/>
          </w:tcPr>
          <w:p>
            <w:pPr>
              <w:adjustRightInd w:val="0"/>
              <w:snapToGrid w:val="0"/>
              <w:ind w:left="-105" w:leftChars="-50" w:right="-105" w:rightChars="-50"/>
              <w:jc w:val="center"/>
              <w:rPr>
                <w:rFonts w:eastAsia="仿宋"/>
              </w:rPr>
            </w:pPr>
            <w:r>
              <w:rPr>
                <w:rFonts w:eastAsia="仿宋"/>
              </w:rPr>
              <w:t>111.601310</w:t>
            </w:r>
          </w:p>
        </w:tc>
        <w:tc>
          <w:tcPr>
            <w:tcW w:w="537" w:type="pct"/>
            <w:noWrap/>
            <w:vAlign w:val="center"/>
          </w:tcPr>
          <w:p>
            <w:pPr>
              <w:adjustRightInd w:val="0"/>
              <w:snapToGrid w:val="0"/>
              <w:ind w:left="-105" w:leftChars="-50" w:right="-105" w:rightChars="-50"/>
              <w:jc w:val="center"/>
              <w:rPr>
                <w:rFonts w:eastAsia="仿宋"/>
              </w:rPr>
            </w:pPr>
            <w:r>
              <w:rPr>
                <w:rFonts w:eastAsia="仿宋"/>
              </w:rPr>
              <w:t>31.134756</w:t>
            </w:r>
          </w:p>
        </w:tc>
        <w:tc>
          <w:tcPr>
            <w:tcW w:w="838" w:type="pct"/>
            <w:noWrap/>
            <w:vAlign w:val="center"/>
          </w:tcPr>
          <w:p>
            <w:pPr>
              <w:adjustRightInd w:val="0"/>
              <w:snapToGrid w:val="0"/>
              <w:ind w:left="-105" w:leftChars="-50" w:right="-105" w:rightChars="-50"/>
              <w:jc w:val="center"/>
              <w:rPr>
                <w:rFonts w:eastAsia="仿宋"/>
              </w:rPr>
            </w:pPr>
            <w:r>
              <w:rPr>
                <w:rFonts w:eastAsia="仿宋"/>
              </w:rPr>
              <w:t>约85户，210人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NE</w:t>
            </w:r>
          </w:p>
        </w:tc>
        <w:tc>
          <w:tcPr>
            <w:tcW w:w="725" w:type="pct"/>
            <w:noWrap/>
            <w:vAlign w:val="center"/>
          </w:tcPr>
          <w:p>
            <w:pPr>
              <w:adjustRightInd w:val="0"/>
              <w:snapToGrid w:val="0"/>
              <w:ind w:left="-105" w:leftChars="-50" w:right="-105" w:rightChars="-50"/>
              <w:jc w:val="center"/>
              <w:rPr>
                <w:rFonts w:eastAsia="仿宋"/>
              </w:rPr>
            </w:pPr>
            <w:r>
              <w:rPr>
                <w:rFonts w:eastAsia="仿宋"/>
              </w:rPr>
              <w:t>1020-1150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李家湾农户聚集区</w:t>
            </w:r>
          </w:p>
        </w:tc>
        <w:tc>
          <w:tcPr>
            <w:tcW w:w="536" w:type="pct"/>
            <w:noWrap/>
            <w:vAlign w:val="center"/>
          </w:tcPr>
          <w:p>
            <w:pPr>
              <w:adjustRightInd w:val="0"/>
              <w:snapToGrid w:val="0"/>
              <w:ind w:left="-105" w:leftChars="-50" w:right="-105" w:rightChars="-50"/>
              <w:jc w:val="center"/>
              <w:rPr>
                <w:rFonts w:eastAsia="仿宋"/>
              </w:rPr>
            </w:pPr>
            <w:r>
              <w:rPr>
                <w:rFonts w:eastAsia="仿宋"/>
              </w:rPr>
              <w:t>111.603144</w:t>
            </w:r>
          </w:p>
        </w:tc>
        <w:tc>
          <w:tcPr>
            <w:tcW w:w="537" w:type="pct"/>
            <w:noWrap/>
            <w:vAlign w:val="center"/>
          </w:tcPr>
          <w:p>
            <w:pPr>
              <w:adjustRightInd w:val="0"/>
              <w:snapToGrid w:val="0"/>
              <w:ind w:left="-105" w:leftChars="-50" w:right="-105" w:rightChars="-50"/>
              <w:jc w:val="center"/>
              <w:rPr>
                <w:rFonts w:eastAsia="仿宋"/>
              </w:rPr>
            </w:pPr>
            <w:r>
              <w:rPr>
                <w:rFonts w:eastAsia="仿宋"/>
              </w:rPr>
              <w:t>31.130100</w:t>
            </w:r>
          </w:p>
        </w:tc>
        <w:tc>
          <w:tcPr>
            <w:tcW w:w="838" w:type="pct"/>
            <w:noWrap/>
            <w:vAlign w:val="center"/>
          </w:tcPr>
          <w:p>
            <w:pPr>
              <w:adjustRightInd w:val="0"/>
              <w:snapToGrid w:val="0"/>
              <w:ind w:left="-105" w:leftChars="-50" w:right="-105" w:rightChars="-50"/>
              <w:jc w:val="center"/>
              <w:rPr>
                <w:rFonts w:eastAsia="仿宋"/>
              </w:rPr>
            </w:pPr>
            <w:r>
              <w:rPr>
                <w:rFonts w:eastAsia="仿宋"/>
              </w:rPr>
              <w:t>约55户，136人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E、SE</w:t>
            </w:r>
          </w:p>
        </w:tc>
        <w:tc>
          <w:tcPr>
            <w:tcW w:w="725" w:type="pct"/>
            <w:noWrap/>
            <w:vAlign w:val="center"/>
          </w:tcPr>
          <w:p>
            <w:pPr>
              <w:adjustRightInd w:val="0"/>
              <w:snapToGrid w:val="0"/>
              <w:ind w:left="-105" w:leftChars="-50" w:right="-105" w:rightChars="-50"/>
              <w:jc w:val="center"/>
              <w:rPr>
                <w:rFonts w:eastAsia="仿宋"/>
              </w:rPr>
            </w:pPr>
            <w:r>
              <w:rPr>
                <w:rFonts w:eastAsia="仿宋"/>
              </w:rPr>
              <w:t>1020-1330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黑冲、余湾农户聚集区</w:t>
            </w:r>
          </w:p>
        </w:tc>
        <w:tc>
          <w:tcPr>
            <w:tcW w:w="536" w:type="pct"/>
            <w:noWrap/>
            <w:vAlign w:val="center"/>
          </w:tcPr>
          <w:p>
            <w:pPr>
              <w:adjustRightInd w:val="0"/>
              <w:snapToGrid w:val="0"/>
              <w:ind w:left="-105" w:leftChars="-50" w:right="-105" w:rightChars="-50"/>
              <w:jc w:val="center"/>
              <w:rPr>
                <w:rFonts w:eastAsia="仿宋"/>
              </w:rPr>
            </w:pPr>
            <w:r>
              <w:rPr>
                <w:rFonts w:eastAsia="仿宋"/>
              </w:rPr>
              <w:t>111.616502</w:t>
            </w:r>
          </w:p>
        </w:tc>
        <w:tc>
          <w:tcPr>
            <w:tcW w:w="537" w:type="pct"/>
            <w:noWrap/>
            <w:vAlign w:val="center"/>
          </w:tcPr>
          <w:p>
            <w:pPr>
              <w:adjustRightInd w:val="0"/>
              <w:snapToGrid w:val="0"/>
              <w:ind w:left="-105" w:leftChars="-50" w:right="-105" w:rightChars="-50"/>
              <w:jc w:val="center"/>
              <w:rPr>
                <w:rFonts w:eastAsia="仿宋"/>
              </w:rPr>
            </w:pPr>
            <w:r>
              <w:rPr>
                <w:rFonts w:eastAsia="仿宋"/>
              </w:rPr>
              <w:t>31.129669</w:t>
            </w:r>
          </w:p>
        </w:tc>
        <w:tc>
          <w:tcPr>
            <w:tcW w:w="838" w:type="pct"/>
            <w:noWrap/>
            <w:vAlign w:val="center"/>
          </w:tcPr>
          <w:p>
            <w:pPr>
              <w:adjustRightInd w:val="0"/>
              <w:snapToGrid w:val="0"/>
              <w:ind w:left="-105" w:leftChars="-50" w:right="-105" w:rightChars="-50"/>
              <w:jc w:val="center"/>
              <w:rPr>
                <w:rFonts w:eastAsia="仿宋"/>
              </w:rPr>
            </w:pPr>
            <w:r>
              <w:rPr>
                <w:rFonts w:eastAsia="仿宋"/>
              </w:rPr>
              <w:t>约110户，270人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E</w:t>
            </w:r>
          </w:p>
        </w:tc>
        <w:tc>
          <w:tcPr>
            <w:tcW w:w="725" w:type="pct"/>
            <w:noWrap/>
            <w:vAlign w:val="center"/>
          </w:tcPr>
          <w:p>
            <w:pPr>
              <w:adjustRightInd w:val="0"/>
              <w:snapToGrid w:val="0"/>
              <w:ind w:left="-105" w:leftChars="-50" w:right="-105" w:rightChars="-50"/>
              <w:jc w:val="center"/>
              <w:rPr>
                <w:rFonts w:eastAsia="仿宋"/>
              </w:rPr>
            </w:pPr>
            <w:r>
              <w:rPr>
                <w:rFonts w:eastAsia="仿宋"/>
              </w:rPr>
              <w:t>1700-2500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金家冲散住农户</w:t>
            </w:r>
          </w:p>
        </w:tc>
        <w:tc>
          <w:tcPr>
            <w:tcW w:w="536" w:type="pct"/>
            <w:noWrap/>
            <w:vAlign w:val="center"/>
          </w:tcPr>
          <w:p>
            <w:pPr>
              <w:adjustRightInd w:val="0"/>
              <w:snapToGrid w:val="0"/>
              <w:ind w:left="-105" w:leftChars="-50" w:right="-105" w:rightChars="-50"/>
              <w:jc w:val="center"/>
              <w:rPr>
                <w:rFonts w:eastAsia="仿宋"/>
              </w:rPr>
            </w:pPr>
            <w:r>
              <w:rPr>
                <w:rFonts w:eastAsia="仿宋"/>
              </w:rPr>
              <w:t>111.577910</w:t>
            </w:r>
          </w:p>
        </w:tc>
        <w:tc>
          <w:tcPr>
            <w:tcW w:w="537" w:type="pct"/>
            <w:noWrap/>
            <w:vAlign w:val="center"/>
          </w:tcPr>
          <w:p>
            <w:pPr>
              <w:adjustRightInd w:val="0"/>
              <w:snapToGrid w:val="0"/>
              <w:ind w:left="-105" w:leftChars="-50" w:right="-105" w:rightChars="-50"/>
              <w:jc w:val="center"/>
              <w:rPr>
                <w:rFonts w:eastAsia="仿宋"/>
              </w:rPr>
            </w:pPr>
            <w:r>
              <w:rPr>
                <w:rFonts w:eastAsia="仿宋"/>
              </w:rPr>
              <w:t>31.137594</w:t>
            </w:r>
          </w:p>
        </w:tc>
        <w:tc>
          <w:tcPr>
            <w:tcW w:w="838" w:type="pct"/>
            <w:noWrap/>
            <w:vAlign w:val="center"/>
          </w:tcPr>
          <w:p>
            <w:pPr>
              <w:adjustRightInd w:val="0"/>
              <w:snapToGrid w:val="0"/>
              <w:ind w:left="-105" w:leftChars="-50" w:right="-105" w:rightChars="-50"/>
              <w:jc w:val="center"/>
              <w:rPr>
                <w:rFonts w:eastAsia="仿宋"/>
              </w:rPr>
            </w:pPr>
            <w:r>
              <w:rPr>
                <w:rFonts w:eastAsia="仿宋"/>
              </w:rPr>
              <w:t>4户，10人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NW</w:t>
            </w:r>
          </w:p>
        </w:tc>
        <w:tc>
          <w:tcPr>
            <w:tcW w:w="725" w:type="pct"/>
            <w:noWrap/>
            <w:vAlign w:val="center"/>
          </w:tcPr>
          <w:p>
            <w:pPr>
              <w:adjustRightInd w:val="0"/>
              <w:snapToGrid w:val="0"/>
              <w:ind w:left="-105" w:leftChars="-50" w:right="-105" w:rightChars="-50"/>
              <w:jc w:val="center"/>
              <w:rPr>
                <w:rFonts w:eastAsia="仿宋"/>
              </w:rPr>
            </w:pPr>
            <w:r>
              <w:rPr>
                <w:rFonts w:eastAsia="仿宋"/>
              </w:rPr>
              <w:t>1320-1500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旧县镇镇区</w:t>
            </w:r>
          </w:p>
        </w:tc>
        <w:tc>
          <w:tcPr>
            <w:tcW w:w="536" w:type="pct"/>
            <w:noWrap/>
            <w:vAlign w:val="center"/>
          </w:tcPr>
          <w:p>
            <w:pPr>
              <w:adjustRightInd w:val="0"/>
              <w:snapToGrid w:val="0"/>
              <w:ind w:left="-105" w:leftChars="-50" w:right="-105" w:rightChars="-50"/>
              <w:jc w:val="center"/>
              <w:rPr>
                <w:rFonts w:eastAsia="仿宋"/>
              </w:rPr>
            </w:pPr>
            <w:r>
              <w:rPr>
                <w:rFonts w:eastAsia="仿宋"/>
              </w:rPr>
              <w:t>111.605451</w:t>
            </w:r>
          </w:p>
        </w:tc>
        <w:tc>
          <w:tcPr>
            <w:tcW w:w="537" w:type="pct"/>
            <w:noWrap/>
            <w:vAlign w:val="center"/>
          </w:tcPr>
          <w:p>
            <w:pPr>
              <w:adjustRightInd w:val="0"/>
              <w:snapToGrid w:val="0"/>
              <w:ind w:left="-105" w:leftChars="-50" w:right="-105" w:rightChars="-50"/>
              <w:jc w:val="center"/>
              <w:rPr>
                <w:rFonts w:eastAsia="仿宋"/>
              </w:rPr>
            </w:pPr>
            <w:r>
              <w:rPr>
                <w:rFonts w:eastAsia="仿宋"/>
              </w:rPr>
              <w:t>31.117398</w:t>
            </w:r>
          </w:p>
        </w:tc>
        <w:tc>
          <w:tcPr>
            <w:tcW w:w="838" w:type="pct"/>
            <w:noWrap/>
            <w:vAlign w:val="center"/>
          </w:tcPr>
          <w:p>
            <w:pPr>
              <w:adjustRightInd w:val="0"/>
              <w:snapToGrid w:val="0"/>
              <w:ind w:left="-105" w:leftChars="-50" w:right="-105" w:rightChars="-50"/>
              <w:jc w:val="center"/>
              <w:rPr>
                <w:rFonts w:eastAsia="仿宋"/>
              </w:rPr>
            </w:pPr>
            <w:r>
              <w:rPr>
                <w:rFonts w:eastAsia="仿宋"/>
              </w:rPr>
              <w:t>约600户，1500人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SSE、SE、ESE</w:t>
            </w:r>
          </w:p>
        </w:tc>
        <w:tc>
          <w:tcPr>
            <w:tcW w:w="725" w:type="pct"/>
            <w:noWrap/>
            <w:vAlign w:val="center"/>
          </w:tcPr>
          <w:p>
            <w:pPr>
              <w:adjustRightInd w:val="0"/>
              <w:snapToGrid w:val="0"/>
              <w:ind w:left="-105" w:leftChars="-50" w:right="-105" w:rightChars="-50"/>
              <w:jc w:val="center"/>
              <w:rPr>
                <w:rFonts w:eastAsia="仿宋"/>
              </w:rPr>
            </w:pPr>
            <w:r>
              <w:rPr>
                <w:rFonts w:eastAsia="仿宋"/>
              </w:rPr>
              <w:t>1420-2500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旧县镇新苗幼儿园</w:t>
            </w:r>
          </w:p>
        </w:tc>
        <w:tc>
          <w:tcPr>
            <w:tcW w:w="536" w:type="pct"/>
            <w:noWrap/>
            <w:vAlign w:val="center"/>
          </w:tcPr>
          <w:p>
            <w:pPr>
              <w:adjustRightInd w:val="0"/>
              <w:snapToGrid w:val="0"/>
              <w:ind w:left="-105" w:leftChars="-50" w:right="-105" w:rightChars="-50"/>
              <w:jc w:val="center"/>
              <w:rPr>
                <w:rFonts w:eastAsia="仿宋"/>
              </w:rPr>
            </w:pPr>
            <w:r>
              <w:rPr>
                <w:rFonts w:eastAsia="仿宋"/>
              </w:rPr>
              <w:t>111.615949</w:t>
            </w:r>
          </w:p>
        </w:tc>
        <w:tc>
          <w:tcPr>
            <w:tcW w:w="537" w:type="pct"/>
            <w:noWrap/>
            <w:vAlign w:val="center"/>
          </w:tcPr>
          <w:p>
            <w:pPr>
              <w:adjustRightInd w:val="0"/>
              <w:snapToGrid w:val="0"/>
              <w:ind w:left="-105" w:leftChars="-50" w:right="-105" w:rightChars="-50"/>
              <w:jc w:val="center"/>
              <w:rPr>
                <w:rFonts w:eastAsia="仿宋"/>
              </w:rPr>
            </w:pPr>
            <w:r>
              <w:rPr>
                <w:rFonts w:eastAsia="仿宋"/>
              </w:rPr>
              <w:t>31.123610</w:t>
            </w:r>
          </w:p>
        </w:tc>
        <w:tc>
          <w:tcPr>
            <w:tcW w:w="838" w:type="pct"/>
            <w:noWrap/>
            <w:vAlign w:val="center"/>
          </w:tcPr>
          <w:p>
            <w:pPr>
              <w:adjustRightInd w:val="0"/>
              <w:snapToGrid w:val="0"/>
              <w:ind w:left="-105" w:leftChars="-50" w:right="-105" w:rightChars="-50"/>
              <w:jc w:val="center"/>
              <w:rPr>
                <w:rFonts w:eastAsia="仿宋"/>
              </w:rPr>
            </w:pPr>
            <w:r>
              <w:rPr>
                <w:rFonts w:eastAsia="仿宋"/>
              </w:rPr>
              <w:t>师生约140人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SE</w:t>
            </w:r>
          </w:p>
        </w:tc>
        <w:tc>
          <w:tcPr>
            <w:tcW w:w="725" w:type="pct"/>
            <w:noWrap/>
            <w:vAlign w:val="center"/>
          </w:tcPr>
          <w:p>
            <w:pPr>
              <w:adjustRightInd w:val="0"/>
              <w:snapToGrid w:val="0"/>
              <w:ind w:left="-105" w:leftChars="-50" w:right="-105" w:rightChars="-50"/>
              <w:jc w:val="center"/>
              <w:rPr>
                <w:rFonts w:eastAsia="仿宋"/>
              </w:rPr>
            </w:pPr>
            <w:r>
              <w:rPr>
                <w:rFonts w:eastAsia="仿宋"/>
              </w:rPr>
              <w:t>1900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旧县镇中心小学</w:t>
            </w:r>
          </w:p>
        </w:tc>
        <w:tc>
          <w:tcPr>
            <w:tcW w:w="536" w:type="pct"/>
            <w:noWrap/>
            <w:vAlign w:val="center"/>
          </w:tcPr>
          <w:p>
            <w:pPr>
              <w:adjustRightInd w:val="0"/>
              <w:snapToGrid w:val="0"/>
              <w:ind w:left="-105" w:leftChars="-50" w:right="-105" w:rightChars="-50"/>
              <w:jc w:val="center"/>
              <w:rPr>
                <w:rFonts w:eastAsia="仿宋"/>
              </w:rPr>
            </w:pPr>
            <w:r>
              <w:rPr>
                <w:rFonts w:eastAsia="仿宋"/>
              </w:rPr>
              <w:t>111.611931</w:t>
            </w:r>
          </w:p>
        </w:tc>
        <w:tc>
          <w:tcPr>
            <w:tcW w:w="537" w:type="pct"/>
            <w:noWrap/>
            <w:vAlign w:val="center"/>
          </w:tcPr>
          <w:p>
            <w:pPr>
              <w:adjustRightInd w:val="0"/>
              <w:snapToGrid w:val="0"/>
              <w:ind w:left="-105" w:leftChars="-50" w:right="-105" w:rightChars="-50"/>
              <w:jc w:val="center"/>
              <w:rPr>
                <w:rFonts w:eastAsia="仿宋"/>
              </w:rPr>
            </w:pPr>
            <w:r>
              <w:rPr>
                <w:rFonts w:eastAsia="仿宋"/>
              </w:rPr>
              <w:t>31.120659</w:t>
            </w:r>
          </w:p>
        </w:tc>
        <w:tc>
          <w:tcPr>
            <w:tcW w:w="838" w:type="pct"/>
            <w:noWrap/>
            <w:vAlign w:val="center"/>
          </w:tcPr>
          <w:p>
            <w:pPr>
              <w:adjustRightInd w:val="0"/>
              <w:snapToGrid w:val="0"/>
              <w:ind w:left="-105" w:leftChars="-50" w:right="-105" w:rightChars="-50"/>
              <w:jc w:val="center"/>
              <w:rPr>
                <w:rFonts w:eastAsia="仿宋"/>
              </w:rPr>
            </w:pPr>
            <w:r>
              <w:rPr>
                <w:rFonts w:eastAsia="仿宋"/>
              </w:rPr>
              <w:t>师生约500人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SE</w:t>
            </w:r>
          </w:p>
        </w:tc>
        <w:tc>
          <w:tcPr>
            <w:tcW w:w="725" w:type="pct"/>
            <w:noWrap/>
            <w:vAlign w:val="center"/>
          </w:tcPr>
          <w:p>
            <w:pPr>
              <w:adjustRightInd w:val="0"/>
              <w:snapToGrid w:val="0"/>
              <w:ind w:left="-105" w:leftChars="-50" w:right="-105" w:rightChars="-50"/>
              <w:jc w:val="center"/>
              <w:rPr>
                <w:rFonts w:eastAsia="仿宋"/>
              </w:rPr>
            </w:pPr>
            <w:r>
              <w:rPr>
                <w:rFonts w:eastAsia="仿宋"/>
              </w:rPr>
              <w:t>1700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旧县镇中学</w:t>
            </w:r>
          </w:p>
        </w:tc>
        <w:tc>
          <w:tcPr>
            <w:tcW w:w="536" w:type="pct"/>
            <w:noWrap/>
            <w:vAlign w:val="center"/>
          </w:tcPr>
          <w:p>
            <w:pPr>
              <w:adjustRightInd w:val="0"/>
              <w:snapToGrid w:val="0"/>
              <w:ind w:left="-105" w:leftChars="-50" w:right="-105" w:rightChars="-50"/>
              <w:jc w:val="center"/>
              <w:rPr>
                <w:rFonts w:eastAsia="仿宋"/>
              </w:rPr>
            </w:pPr>
            <w:r>
              <w:rPr>
                <w:rFonts w:eastAsia="仿宋"/>
              </w:rPr>
              <w:t>111.606567</w:t>
            </w:r>
          </w:p>
        </w:tc>
        <w:tc>
          <w:tcPr>
            <w:tcW w:w="537" w:type="pct"/>
            <w:noWrap/>
            <w:vAlign w:val="center"/>
          </w:tcPr>
          <w:p>
            <w:pPr>
              <w:adjustRightInd w:val="0"/>
              <w:snapToGrid w:val="0"/>
              <w:ind w:left="-105" w:leftChars="-50" w:right="-105" w:rightChars="-50"/>
              <w:jc w:val="center"/>
              <w:rPr>
                <w:rFonts w:eastAsia="仿宋"/>
              </w:rPr>
            </w:pPr>
            <w:r>
              <w:rPr>
                <w:rFonts w:eastAsia="仿宋"/>
              </w:rPr>
              <w:t>31.118363</w:t>
            </w:r>
          </w:p>
        </w:tc>
        <w:tc>
          <w:tcPr>
            <w:tcW w:w="838" w:type="pct"/>
            <w:noWrap/>
            <w:vAlign w:val="center"/>
          </w:tcPr>
          <w:p>
            <w:pPr>
              <w:adjustRightInd w:val="0"/>
              <w:snapToGrid w:val="0"/>
              <w:ind w:left="-105" w:leftChars="-50" w:right="-105" w:rightChars="-50"/>
              <w:jc w:val="center"/>
              <w:rPr>
                <w:rFonts w:eastAsia="仿宋"/>
              </w:rPr>
            </w:pPr>
            <w:r>
              <w:rPr>
                <w:rFonts w:eastAsia="仿宋"/>
              </w:rPr>
              <w:t>师生约350人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SSE</w:t>
            </w:r>
          </w:p>
        </w:tc>
        <w:tc>
          <w:tcPr>
            <w:tcW w:w="725" w:type="pct"/>
            <w:noWrap/>
            <w:vAlign w:val="center"/>
          </w:tcPr>
          <w:p>
            <w:pPr>
              <w:adjustRightInd w:val="0"/>
              <w:snapToGrid w:val="0"/>
              <w:ind w:left="-105" w:leftChars="-50" w:right="-105" w:rightChars="-50"/>
              <w:jc w:val="center"/>
              <w:rPr>
                <w:rFonts w:eastAsia="仿宋"/>
              </w:rPr>
            </w:pPr>
            <w:r>
              <w:rPr>
                <w:rFonts w:eastAsia="仿宋"/>
              </w:rPr>
              <w:t>1400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观西村居民集中区</w:t>
            </w:r>
          </w:p>
        </w:tc>
        <w:tc>
          <w:tcPr>
            <w:tcW w:w="536" w:type="pct"/>
            <w:noWrap/>
            <w:vAlign w:val="center"/>
          </w:tcPr>
          <w:p>
            <w:pPr>
              <w:adjustRightInd w:val="0"/>
              <w:snapToGrid w:val="0"/>
              <w:ind w:left="-105" w:leftChars="-50" w:right="-105" w:rightChars="-50"/>
              <w:jc w:val="center"/>
              <w:rPr>
                <w:rFonts w:eastAsia="仿宋"/>
              </w:rPr>
            </w:pPr>
            <w:r>
              <w:rPr>
                <w:rFonts w:eastAsia="仿宋"/>
              </w:rPr>
              <w:t>111.601567</w:t>
            </w:r>
          </w:p>
        </w:tc>
        <w:tc>
          <w:tcPr>
            <w:tcW w:w="537" w:type="pct"/>
            <w:noWrap/>
            <w:vAlign w:val="center"/>
          </w:tcPr>
          <w:p>
            <w:pPr>
              <w:adjustRightInd w:val="0"/>
              <w:snapToGrid w:val="0"/>
              <w:ind w:left="-105" w:leftChars="-50" w:right="-105" w:rightChars="-50"/>
              <w:jc w:val="center"/>
              <w:rPr>
                <w:rFonts w:eastAsia="仿宋"/>
              </w:rPr>
            </w:pPr>
            <w:r>
              <w:rPr>
                <w:rFonts w:eastAsia="仿宋"/>
              </w:rPr>
              <w:t>31.141497</w:t>
            </w:r>
          </w:p>
        </w:tc>
        <w:tc>
          <w:tcPr>
            <w:tcW w:w="838" w:type="pct"/>
            <w:noWrap/>
            <w:vAlign w:val="center"/>
          </w:tcPr>
          <w:p>
            <w:pPr>
              <w:adjustRightInd w:val="0"/>
              <w:snapToGrid w:val="0"/>
              <w:ind w:left="-105" w:leftChars="-50" w:right="-105" w:rightChars="-50"/>
              <w:jc w:val="center"/>
              <w:rPr>
                <w:rFonts w:eastAsia="仿宋"/>
              </w:rPr>
            </w:pPr>
            <w:r>
              <w:rPr>
                <w:rFonts w:eastAsia="仿宋"/>
              </w:rPr>
              <w:t>约210户，520人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N</w:t>
            </w:r>
          </w:p>
        </w:tc>
        <w:tc>
          <w:tcPr>
            <w:tcW w:w="725" w:type="pct"/>
            <w:noWrap/>
            <w:vAlign w:val="center"/>
          </w:tcPr>
          <w:p>
            <w:pPr>
              <w:adjustRightInd w:val="0"/>
              <w:snapToGrid w:val="0"/>
              <w:ind w:left="-105" w:leftChars="-50" w:right="-105" w:rightChars="-50"/>
              <w:jc w:val="center"/>
              <w:rPr>
                <w:rFonts w:eastAsia="仿宋"/>
              </w:rPr>
            </w:pPr>
            <w:r>
              <w:rPr>
                <w:rFonts w:eastAsia="仿宋"/>
              </w:rPr>
              <w:t>1350-2500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五龙村居民集中区</w:t>
            </w:r>
          </w:p>
        </w:tc>
        <w:tc>
          <w:tcPr>
            <w:tcW w:w="536" w:type="pct"/>
            <w:noWrap/>
            <w:vAlign w:val="center"/>
          </w:tcPr>
          <w:p>
            <w:pPr>
              <w:adjustRightInd w:val="0"/>
              <w:snapToGrid w:val="0"/>
              <w:ind w:left="-105" w:leftChars="-50" w:right="-105" w:rightChars="-50"/>
              <w:jc w:val="center"/>
              <w:rPr>
                <w:rFonts w:eastAsia="仿宋"/>
              </w:rPr>
            </w:pPr>
            <w:r>
              <w:rPr>
                <w:rFonts w:eastAsia="仿宋"/>
              </w:rPr>
              <w:t>111.581140</w:t>
            </w:r>
          </w:p>
        </w:tc>
        <w:tc>
          <w:tcPr>
            <w:tcW w:w="537" w:type="pct"/>
            <w:noWrap/>
            <w:vAlign w:val="center"/>
          </w:tcPr>
          <w:p>
            <w:pPr>
              <w:adjustRightInd w:val="0"/>
              <w:snapToGrid w:val="0"/>
              <w:ind w:left="-105" w:leftChars="-50" w:right="-105" w:rightChars="-50"/>
              <w:jc w:val="center"/>
              <w:rPr>
                <w:rFonts w:eastAsia="仿宋"/>
              </w:rPr>
            </w:pPr>
            <w:r>
              <w:rPr>
                <w:rFonts w:eastAsia="仿宋"/>
              </w:rPr>
              <w:t>31.143333</w:t>
            </w:r>
          </w:p>
        </w:tc>
        <w:tc>
          <w:tcPr>
            <w:tcW w:w="838" w:type="pct"/>
            <w:noWrap/>
            <w:vAlign w:val="center"/>
          </w:tcPr>
          <w:p>
            <w:pPr>
              <w:adjustRightInd w:val="0"/>
              <w:snapToGrid w:val="0"/>
              <w:ind w:left="-105" w:leftChars="-50" w:right="-105" w:rightChars="-50"/>
              <w:jc w:val="center"/>
              <w:rPr>
                <w:rFonts w:eastAsia="仿宋"/>
              </w:rPr>
            </w:pPr>
            <w:r>
              <w:rPr>
                <w:rFonts w:eastAsia="仿宋"/>
              </w:rPr>
              <w:t>约280户，670人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NW</w:t>
            </w:r>
          </w:p>
        </w:tc>
        <w:tc>
          <w:tcPr>
            <w:tcW w:w="725" w:type="pct"/>
            <w:noWrap/>
            <w:vAlign w:val="center"/>
          </w:tcPr>
          <w:p>
            <w:pPr>
              <w:adjustRightInd w:val="0"/>
              <w:snapToGrid w:val="0"/>
              <w:ind w:left="-105" w:leftChars="-50" w:right="-105" w:rightChars="-50"/>
              <w:jc w:val="center"/>
              <w:rPr>
                <w:rFonts w:eastAsia="仿宋"/>
              </w:rPr>
            </w:pPr>
            <w:r>
              <w:rPr>
                <w:rFonts w:eastAsia="仿宋"/>
              </w:rPr>
              <w:t>1750-2500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谢家冲、谭家冲、宋家冲、熊家冲散住农户</w:t>
            </w:r>
          </w:p>
        </w:tc>
        <w:tc>
          <w:tcPr>
            <w:tcW w:w="536" w:type="pct"/>
            <w:noWrap/>
            <w:vAlign w:val="center"/>
          </w:tcPr>
          <w:p>
            <w:pPr>
              <w:adjustRightInd w:val="0"/>
              <w:snapToGrid w:val="0"/>
              <w:ind w:left="-105" w:leftChars="-50" w:right="-105" w:rightChars="-50"/>
              <w:jc w:val="center"/>
              <w:rPr>
                <w:rFonts w:eastAsia="仿宋"/>
              </w:rPr>
            </w:pPr>
            <w:r>
              <w:rPr>
                <w:rFonts w:eastAsia="仿宋"/>
              </w:rPr>
              <w:t>111.578157</w:t>
            </w:r>
          </w:p>
        </w:tc>
        <w:tc>
          <w:tcPr>
            <w:tcW w:w="537" w:type="pct"/>
            <w:noWrap/>
            <w:vAlign w:val="center"/>
          </w:tcPr>
          <w:p>
            <w:pPr>
              <w:adjustRightInd w:val="0"/>
              <w:snapToGrid w:val="0"/>
              <w:ind w:left="-105" w:leftChars="-50" w:right="-105" w:rightChars="-50"/>
              <w:jc w:val="center"/>
              <w:rPr>
                <w:rFonts w:eastAsia="仿宋"/>
              </w:rPr>
            </w:pPr>
            <w:r>
              <w:rPr>
                <w:rFonts w:eastAsia="仿宋"/>
              </w:rPr>
              <w:t>31.123442</w:t>
            </w:r>
          </w:p>
        </w:tc>
        <w:tc>
          <w:tcPr>
            <w:tcW w:w="838" w:type="pct"/>
            <w:noWrap/>
            <w:vAlign w:val="center"/>
          </w:tcPr>
          <w:p>
            <w:pPr>
              <w:adjustRightInd w:val="0"/>
              <w:snapToGrid w:val="0"/>
              <w:ind w:left="-105" w:leftChars="-50" w:right="-105" w:rightChars="-50"/>
              <w:jc w:val="center"/>
              <w:rPr>
                <w:rFonts w:eastAsia="仿宋"/>
              </w:rPr>
            </w:pPr>
            <w:r>
              <w:rPr>
                <w:rFonts w:eastAsia="仿宋"/>
              </w:rPr>
              <w:t>约35户，86人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WSW</w:t>
            </w:r>
          </w:p>
        </w:tc>
        <w:tc>
          <w:tcPr>
            <w:tcW w:w="725" w:type="pct"/>
            <w:noWrap/>
            <w:vAlign w:val="center"/>
          </w:tcPr>
          <w:p>
            <w:pPr>
              <w:adjustRightInd w:val="0"/>
              <w:snapToGrid w:val="0"/>
              <w:ind w:left="-105" w:leftChars="-50" w:right="-105" w:rightChars="-50"/>
              <w:jc w:val="center"/>
              <w:rPr>
                <w:rFonts w:eastAsia="仿宋"/>
              </w:rPr>
            </w:pPr>
            <w:r>
              <w:rPr>
                <w:rFonts w:eastAsia="仿宋"/>
              </w:rPr>
              <w:t>1180-2500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vMerge w:val="continue"/>
            <w:noWrap/>
            <w:vAlign w:val="center"/>
          </w:tcPr>
          <w:p>
            <w:pPr>
              <w:adjustRightInd w:val="0"/>
              <w:snapToGrid w:val="0"/>
              <w:ind w:left="-105" w:leftChars="-50" w:right="-105" w:rightChars="-50"/>
              <w:jc w:val="center"/>
              <w:rPr>
                <w:rFonts w:eastAsia="仿宋"/>
              </w:rPr>
            </w:pPr>
          </w:p>
        </w:tc>
        <w:tc>
          <w:tcPr>
            <w:tcW w:w="920" w:type="pct"/>
            <w:noWrap/>
            <w:vAlign w:val="center"/>
          </w:tcPr>
          <w:p>
            <w:pPr>
              <w:adjustRightInd w:val="0"/>
              <w:snapToGrid w:val="0"/>
              <w:ind w:left="-105" w:leftChars="-50" w:right="-105" w:rightChars="-50"/>
              <w:jc w:val="center"/>
              <w:rPr>
                <w:rFonts w:eastAsia="仿宋"/>
              </w:rPr>
            </w:pPr>
            <w:r>
              <w:rPr>
                <w:rFonts w:eastAsia="仿宋"/>
              </w:rPr>
              <w:t>曾家台、鹿溪台农户聚集区</w:t>
            </w:r>
          </w:p>
        </w:tc>
        <w:tc>
          <w:tcPr>
            <w:tcW w:w="536" w:type="pct"/>
            <w:noWrap/>
            <w:vAlign w:val="center"/>
          </w:tcPr>
          <w:p>
            <w:pPr>
              <w:adjustRightInd w:val="0"/>
              <w:snapToGrid w:val="0"/>
              <w:ind w:left="-105" w:leftChars="-50" w:right="-105" w:rightChars="-50"/>
              <w:jc w:val="center"/>
              <w:rPr>
                <w:rFonts w:eastAsia="仿宋"/>
              </w:rPr>
            </w:pPr>
            <w:r>
              <w:rPr>
                <w:rFonts w:eastAsia="仿宋"/>
              </w:rPr>
              <w:t>111.601181</w:t>
            </w:r>
          </w:p>
        </w:tc>
        <w:tc>
          <w:tcPr>
            <w:tcW w:w="537" w:type="pct"/>
            <w:noWrap/>
            <w:vAlign w:val="center"/>
          </w:tcPr>
          <w:p>
            <w:pPr>
              <w:adjustRightInd w:val="0"/>
              <w:snapToGrid w:val="0"/>
              <w:ind w:left="-105" w:leftChars="-50" w:right="-105" w:rightChars="-50"/>
              <w:jc w:val="center"/>
              <w:rPr>
                <w:rFonts w:eastAsia="仿宋"/>
              </w:rPr>
            </w:pPr>
            <w:r>
              <w:rPr>
                <w:rFonts w:eastAsia="仿宋"/>
              </w:rPr>
              <w:t>31.107037</w:t>
            </w:r>
          </w:p>
        </w:tc>
        <w:tc>
          <w:tcPr>
            <w:tcW w:w="838" w:type="pct"/>
            <w:noWrap/>
            <w:vAlign w:val="center"/>
          </w:tcPr>
          <w:p>
            <w:pPr>
              <w:adjustRightInd w:val="0"/>
              <w:snapToGrid w:val="0"/>
              <w:ind w:left="-105" w:leftChars="-50" w:right="-105" w:rightChars="-50"/>
              <w:jc w:val="center"/>
              <w:rPr>
                <w:rFonts w:eastAsia="仿宋"/>
              </w:rPr>
            </w:pPr>
            <w:r>
              <w:rPr>
                <w:rFonts w:eastAsia="仿宋"/>
              </w:rPr>
              <w:t>约120户，300人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vMerge w:val="continue"/>
            <w:noWrap/>
            <w:vAlign w:val="center"/>
          </w:tcPr>
          <w:p>
            <w:pPr>
              <w:adjustRightInd w:val="0"/>
              <w:snapToGrid w:val="0"/>
              <w:ind w:left="-105" w:leftChars="-50" w:right="-105" w:rightChars="-50"/>
              <w:jc w:val="center"/>
              <w:rPr>
                <w:rFonts w:eastAsia="仿宋"/>
              </w:rPr>
            </w:pPr>
          </w:p>
        </w:tc>
        <w:tc>
          <w:tcPr>
            <w:tcW w:w="391" w:type="pct"/>
            <w:noWrap/>
            <w:vAlign w:val="center"/>
          </w:tcPr>
          <w:p>
            <w:pPr>
              <w:adjustRightInd w:val="0"/>
              <w:snapToGrid w:val="0"/>
              <w:ind w:left="-105" w:leftChars="-50" w:right="-105" w:rightChars="-50"/>
              <w:jc w:val="center"/>
              <w:rPr>
                <w:rFonts w:eastAsia="仿宋"/>
              </w:rPr>
            </w:pPr>
            <w:r>
              <w:rPr>
                <w:rFonts w:eastAsia="仿宋"/>
              </w:rPr>
              <w:t>S</w:t>
            </w:r>
          </w:p>
        </w:tc>
        <w:tc>
          <w:tcPr>
            <w:tcW w:w="725" w:type="pct"/>
            <w:noWrap/>
            <w:vAlign w:val="center"/>
          </w:tcPr>
          <w:p>
            <w:pPr>
              <w:adjustRightInd w:val="0"/>
              <w:snapToGrid w:val="0"/>
              <w:ind w:left="-105" w:leftChars="-50" w:right="-105" w:rightChars="-50"/>
              <w:jc w:val="center"/>
              <w:rPr>
                <w:rFonts w:eastAsia="仿宋"/>
              </w:rPr>
            </w:pPr>
            <w:r>
              <w:rPr>
                <w:rFonts w:eastAsia="仿宋"/>
              </w:rPr>
              <w:t>2140-2500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noWrap/>
            <w:vAlign w:val="center"/>
          </w:tcPr>
          <w:p>
            <w:pPr>
              <w:adjustRightInd w:val="0"/>
              <w:snapToGrid w:val="0"/>
              <w:ind w:left="-105" w:leftChars="-50" w:right="-105" w:rightChars="-50"/>
              <w:jc w:val="center"/>
              <w:rPr>
                <w:rFonts w:eastAsia="仿宋"/>
              </w:rPr>
            </w:pPr>
            <w:r>
              <w:rPr>
                <w:rFonts w:eastAsia="仿宋"/>
              </w:rPr>
              <w:t>声环境</w:t>
            </w:r>
          </w:p>
        </w:tc>
        <w:tc>
          <w:tcPr>
            <w:tcW w:w="920" w:type="pct"/>
            <w:noWrap/>
            <w:vAlign w:val="center"/>
          </w:tcPr>
          <w:p>
            <w:pPr>
              <w:adjustRightInd w:val="0"/>
              <w:snapToGrid w:val="0"/>
              <w:ind w:left="-105" w:leftChars="-50" w:right="-105" w:rightChars="-50"/>
              <w:jc w:val="center"/>
              <w:rPr>
                <w:rFonts w:eastAsia="仿宋"/>
              </w:rPr>
            </w:pPr>
            <w:r>
              <w:rPr>
                <w:rFonts w:eastAsia="仿宋"/>
              </w:rPr>
              <w:t>七里社区散住农户</w:t>
            </w:r>
          </w:p>
        </w:tc>
        <w:tc>
          <w:tcPr>
            <w:tcW w:w="536" w:type="pct"/>
            <w:noWrap/>
            <w:vAlign w:val="center"/>
          </w:tcPr>
          <w:p>
            <w:pPr>
              <w:adjustRightInd w:val="0"/>
              <w:snapToGrid w:val="0"/>
              <w:ind w:left="-105" w:leftChars="-50" w:right="-105" w:rightChars="-50"/>
              <w:jc w:val="center"/>
              <w:rPr>
                <w:rFonts w:eastAsia="仿宋"/>
              </w:rPr>
            </w:pPr>
            <w:r>
              <w:rPr>
                <w:rFonts w:eastAsia="仿宋"/>
              </w:rPr>
              <w:t>111.592898</w:t>
            </w:r>
          </w:p>
        </w:tc>
        <w:tc>
          <w:tcPr>
            <w:tcW w:w="537" w:type="pct"/>
            <w:noWrap/>
            <w:vAlign w:val="center"/>
          </w:tcPr>
          <w:p>
            <w:pPr>
              <w:adjustRightInd w:val="0"/>
              <w:snapToGrid w:val="0"/>
              <w:ind w:left="-105" w:leftChars="-50" w:right="-105" w:rightChars="-50"/>
              <w:jc w:val="center"/>
              <w:rPr>
                <w:rFonts w:eastAsia="仿宋"/>
              </w:rPr>
            </w:pPr>
            <w:r>
              <w:rPr>
                <w:rFonts w:eastAsia="仿宋"/>
              </w:rPr>
              <w:t>31.13188</w:t>
            </w:r>
          </w:p>
        </w:tc>
        <w:tc>
          <w:tcPr>
            <w:tcW w:w="838" w:type="pct"/>
            <w:noWrap/>
            <w:vAlign w:val="center"/>
          </w:tcPr>
          <w:p>
            <w:pPr>
              <w:adjustRightInd w:val="0"/>
              <w:snapToGrid w:val="0"/>
              <w:ind w:left="-105" w:leftChars="-50" w:right="-105" w:rightChars="-50"/>
              <w:jc w:val="center"/>
              <w:rPr>
                <w:rFonts w:eastAsia="仿宋"/>
              </w:rPr>
            </w:pPr>
            <w:r>
              <w:rPr>
                <w:rFonts w:eastAsia="仿宋"/>
              </w:rPr>
              <w:t>4户，10人</w:t>
            </w:r>
          </w:p>
        </w:tc>
        <w:tc>
          <w:tcPr>
            <w:tcW w:w="456" w:type="pct"/>
            <w:vMerge w:val="continue"/>
            <w:noWrap/>
            <w:vAlign w:val="center"/>
          </w:tcPr>
          <w:p>
            <w:pPr>
              <w:adjustRightInd w:val="0"/>
              <w:snapToGrid w:val="0"/>
              <w:ind w:left="-105" w:leftChars="-50" w:right="-105" w:rightChars="-50"/>
              <w:jc w:val="center"/>
              <w:rPr>
                <w:rFonts w:eastAsia="仿宋"/>
              </w:rPr>
            </w:pPr>
          </w:p>
        </w:tc>
        <w:tc>
          <w:tcPr>
            <w:tcW w:w="385" w:type="pct"/>
            <w:noWrap/>
            <w:vAlign w:val="center"/>
          </w:tcPr>
          <w:p>
            <w:pPr>
              <w:adjustRightInd w:val="0"/>
              <w:snapToGrid w:val="0"/>
              <w:ind w:left="-105" w:leftChars="-50" w:right="-105" w:rightChars="-50"/>
              <w:jc w:val="center"/>
              <w:rPr>
                <w:rFonts w:eastAsia="仿宋"/>
              </w:rPr>
            </w:pPr>
            <w:r>
              <w:rPr>
                <w:rFonts w:eastAsia="仿宋"/>
              </w:rPr>
              <w:t>2类</w:t>
            </w:r>
          </w:p>
        </w:tc>
        <w:tc>
          <w:tcPr>
            <w:tcW w:w="391" w:type="pct"/>
            <w:noWrap/>
            <w:vAlign w:val="center"/>
          </w:tcPr>
          <w:p>
            <w:pPr>
              <w:adjustRightInd w:val="0"/>
              <w:snapToGrid w:val="0"/>
              <w:ind w:left="-105" w:leftChars="-50" w:right="-105" w:rightChars="-50"/>
              <w:jc w:val="center"/>
              <w:rPr>
                <w:rFonts w:eastAsia="仿宋"/>
              </w:rPr>
            </w:pPr>
            <w:r>
              <w:rPr>
                <w:rFonts w:eastAsia="仿宋"/>
              </w:rPr>
              <w:t>N</w:t>
            </w:r>
          </w:p>
        </w:tc>
        <w:tc>
          <w:tcPr>
            <w:tcW w:w="725" w:type="pct"/>
            <w:noWrap/>
            <w:vAlign w:val="center"/>
          </w:tcPr>
          <w:p>
            <w:pPr>
              <w:adjustRightInd w:val="0"/>
              <w:snapToGrid w:val="0"/>
              <w:ind w:left="-105" w:leftChars="-50" w:right="-105" w:rightChars="-50"/>
              <w:jc w:val="center"/>
              <w:rPr>
                <w:rFonts w:eastAsia="仿宋"/>
              </w:rPr>
            </w:pPr>
            <w:r>
              <w:rPr>
                <w:rFonts w:eastAsia="仿宋"/>
              </w:rPr>
              <w:t>700-985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07" w:type="pct"/>
            <w:noWrap/>
            <w:vAlign w:val="center"/>
          </w:tcPr>
          <w:p>
            <w:pPr>
              <w:adjustRightInd w:val="0"/>
              <w:snapToGrid w:val="0"/>
              <w:ind w:left="-105" w:leftChars="-50" w:right="-105" w:rightChars="-50"/>
              <w:jc w:val="center"/>
              <w:rPr>
                <w:rFonts w:eastAsia="仿宋"/>
              </w:rPr>
            </w:pPr>
            <w:r>
              <w:rPr>
                <w:rFonts w:eastAsia="仿宋"/>
              </w:rPr>
              <w:t>水环境</w:t>
            </w:r>
          </w:p>
        </w:tc>
        <w:tc>
          <w:tcPr>
            <w:tcW w:w="920" w:type="pct"/>
            <w:noWrap/>
            <w:vAlign w:val="center"/>
          </w:tcPr>
          <w:p>
            <w:pPr>
              <w:adjustRightInd w:val="0"/>
              <w:snapToGrid w:val="0"/>
              <w:ind w:left="-105" w:leftChars="-50" w:right="-105" w:rightChars="-50"/>
              <w:jc w:val="center"/>
              <w:rPr>
                <w:rFonts w:eastAsia="仿宋"/>
              </w:rPr>
            </w:pPr>
            <w:r>
              <w:rPr>
                <w:rFonts w:eastAsia="仿宋"/>
              </w:rPr>
              <w:t>沮河远安段</w:t>
            </w:r>
          </w:p>
        </w:tc>
        <w:tc>
          <w:tcPr>
            <w:tcW w:w="536" w:type="pct"/>
            <w:noWrap/>
            <w:vAlign w:val="center"/>
          </w:tcPr>
          <w:p>
            <w:pPr>
              <w:adjustRightInd w:val="0"/>
              <w:snapToGrid w:val="0"/>
              <w:ind w:left="-105" w:leftChars="-50" w:right="-105" w:rightChars="-50"/>
              <w:jc w:val="center"/>
              <w:rPr>
                <w:rFonts w:eastAsia="仿宋"/>
              </w:rPr>
            </w:pPr>
            <w:r>
              <w:rPr>
                <w:rFonts w:eastAsia="仿宋"/>
              </w:rPr>
              <w:t>—</w:t>
            </w:r>
          </w:p>
        </w:tc>
        <w:tc>
          <w:tcPr>
            <w:tcW w:w="537" w:type="pct"/>
            <w:noWrap/>
            <w:vAlign w:val="center"/>
          </w:tcPr>
          <w:p>
            <w:pPr>
              <w:adjustRightInd w:val="0"/>
              <w:snapToGrid w:val="0"/>
              <w:ind w:left="-105" w:leftChars="-50" w:right="-105" w:rightChars="-50"/>
              <w:jc w:val="center"/>
              <w:rPr>
                <w:rFonts w:eastAsia="仿宋"/>
              </w:rPr>
            </w:pPr>
            <w:r>
              <w:rPr>
                <w:rFonts w:eastAsia="仿宋"/>
              </w:rPr>
              <w:t>—</w:t>
            </w:r>
          </w:p>
        </w:tc>
        <w:tc>
          <w:tcPr>
            <w:tcW w:w="838" w:type="pct"/>
            <w:noWrap/>
            <w:vAlign w:val="center"/>
          </w:tcPr>
          <w:p>
            <w:pPr>
              <w:adjustRightInd w:val="0"/>
              <w:snapToGrid w:val="0"/>
              <w:ind w:left="-105" w:leftChars="-50" w:right="-105" w:rightChars="-50"/>
              <w:jc w:val="center"/>
              <w:rPr>
                <w:rFonts w:eastAsia="仿宋"/>
              </w:rPr>
            </w:pPr>
            <w:r>
              <w:rPr>
                <w:rFonts w:eastAsia="仿宋"/>
              </w:rPr>
              <w:t>沮河</w:t>
            </w:r>
          </w:p>
        </w:tc>
        <w:tc>
          <w:tcPr>
            <w:tcW w:w="456" w:type="pct"/>
            <w:noWrap/>
            <w:vAlign w:val="center"/>
          </w:tcPr>
          <w:p>
            <w:pPr>
              <w:adjustRightInd w:val="0"/>
              <w:snapToGrid w:val="0"/>
              <w:ind w:left="-105" w:leftChars="-50" w:right="-105" w:rightChars="-50"/>
              <w:jc w:val="center"/>
              <w:rPr>
                <w:rFonts w:eastAsia="仿宋"/>
              </w:rPr>
            </w:pPr>
            <w:r>
              <w:rPr>
                <w:rFonts w:eastAsia="仿宋"/>
              </w:rPr>
              <w:t>水质</w:t>
            </w:r>
          </w:p>
        </w:tc>
        <w:tc>
          <w:tcPr>
            <w:tcW w:w="385" w:type="pct"/>
            <w:noWrap/>
            <w:vAlign w:val="center"/>
          </w:tcPr>
          <w:p>
            <w:pPr>
              <w:adjustRightInd w:val="0"/>
              <w:snapToGrid w:val="0"/>
              <w:ind w:left="-105" w:leftChars="-50" w:right="-105" w:rightChars="-50"/>
              <w:jc w:val="center"/>
              <w:rPr>
                <w:rFonts w:eastAsia="仿宋"/>
              </w:rPr>
            </w:pPr>
            <w:r>
              <w:rPr>
                <w:rFonts w:eastAsia="仿宋"/>
              </w:rPr>
              <w:t>III类</w:t>
            </w:r>
          </w:p>
        </w:tc>
        <w:tc>
          <w:tcPr>
            <w:tcW w:w="391" w:type="pct"/>
            <w:noWrap/>
            <w:vAlign w:val="center"/>
          </w:tcPr>
          <w:p>
            <w:pPr>
              <w:adjustRightInd w:val="0"/>
              <w:snapToGrid w:val="0"/>
              <w:ind w:left="-105" w:leftChars="-50" w:right="-105" w:rightChars="-50"/>
              <w:jc w:val="center"/>
              <w:rPr>
                <w:rFonts w:eastAsia="仿宋"/>
              </w:rPr>
            </w:pPr>
            <w:r>
              <w:rPr>
                <w:rFonts w:eastAsia="仿宋"/>
              </w:rPr>
              <w:t>N、E</w:t>
            </w:r>
          </w:p>
        </w:tc>
        <w:tc>
          <w:tcPr>
            <w:tcW w:w="725" w:type="pct"/>
            <w:noWrap/>
            <w:vAlign w:val="center"/>
          </w:tcPr>
          <w:p>
            <w:pPr>
              <w:adjustRightInd w:val="0"/>
              <w:snapToGrid w:val="0"/>
              <w:ind w:left="-105" w:leftChars="-50" w:right="-105" w:rightChars="-50"/>
              <w:jc w:val="center"/>
              <w:rPr>
                <w:rFonts w:eastAsia="仿宋"/>
              </w:rPr>
            </w:pPr>
            <w:r>
              <w:rPr>
                <w:rFonts w:eastAsia="仿宋"/>
              </w:rPr>
              <w:t>1300</w:t>
            </w:r>
          </w:p>
        </w:tc>
      </w:tr>
    </w:tbl>
    <w:p>
      <w:pPr>
        <w:pStyle w:val="9"/>
        <w:spacing w:before="0" w:after="0" w:line="520" w:lineRule="exact"/>
        <w:ind w:left="0" w:firstLine="0"/>
        <w:rPr>
          <w:rFonts w:hAnsi="仿宋" w:eastAsia="仿宋"/>
        </w:rPr>
      </w:pPr>
      <w:r>
        <w:rPr>
          <w:rFonts w:hint="eastAsia" w:hAnsi="仿宋" w:eastAsia="仿宋"/>
        </w:rPr>
        <w:t>应急监测依据</w:t>
      </w:r>
    </w:p>
    <w:p>
      <w:pPr>
        <w:pStyle w:val="95"/>
        <w:spacing w:line="520" w:lineRule="exact"/>
        <w:ind w:firstLine="562"/>
        <w:rPr>
          <w:rFonts w:eastAsia="仿宋"/>
          <w:b w:val="0"/>
          <w:bCs w:val="0"/>
          <w:sz w:val="28"/>
          <w:szCs w:val="28"/>
        </w:rPr>
      </w:pPr>
      <w:r>
        <w:rPr>
          <w:rFonts w:hAnsi="仿宋" w:eastAsia="仿宋"/>
          <w:b w:val="0"/>
          <w:bCs w:val="0"/>
          <w:sz w:val="28"/>
          <w:szCs w:val="28"/>
        </w:rPr>
        <w:t>《环境监测技术规范》</w:t>
      </w:r>
    </w:p>
    <w:p>
      <w:pPr>
        <w:pStyle w:val="95"/>
        <w:spacing w:line="520" w:lineRule="exact"/>
        <w:ind w:firstLine="562"/>
        <w:rPr>
          <w:rFonts w:eastAsia="仿宋"/>
          <w:b w:val="0"/>
          <w:bCs w:val="0"/>
          <w:sz w:val="28"/>
          <w:szCs w:val="28"/>
        </w:rPr>
      </w:pPr>
      <w:r>
        <w:rPr>
          <w:rFonts w:hAnsi="仿宋" w:eastAsia="仿宋"/>
          <w:b w:val="0"/>
          <w:bCs w:val="0"/>
          <w:sz w:val="28"/>
          <w:szCs w:val="28"/>
        </w:rPr>
        <w:t>《环境水质监测质量保证手册》</w:t>
      </w:r>
    </w:p>
    <w:p>
      <w:pPr>
        <w:pStyle w:val="95"/>
        <w:spacing w:line="520" w:lineRule="exact"/>
        <w:ind w:firstLine="562"/>
        <w:rPr>
          <w:rFonts w:eastAsia="仿宋"/>
          <w:b w:val="0"/>
          <w:bCs w:val="0"/>
          <w:sz w:val="28"/>
          <w:szCs w:val="28"/>
        </w:rPr>
      </w:pPr>
      <w:r>
        <w:rPr>
          <w:rFonts w:hAnsi="仿宋" w:eastAsia="仿宋"/>
          <w:b w:val="0"/>
          <w:bCs w:val="0"/>
          <w:sz w:val="28"/>
          <w:szCs w:val="28"/>
        </w:rPr>
        <w:t>《环境应急响应使用手册》</w:t>
      </w:r>
    </w:p>
    <w:p>
      <w:pPr>
        <w:pStyle w:val="95"/>
        <w:spacing w:line="520" w:lineRule="exact"/>
        <w:ind w:firstLine="562"/>
        <w:rPr>
          <w:rFonts w:eastAsia="仿宋"/>
          <w:b w:val="0"/>
          <w:bCs w:val="0"/>
          <w:sz w:val="28"/>
          <w:szCs w:val="28"/>
        </w:rPr>
      </w:pPr>
      <w:r>
        <w:rPr>
          <w:rFonts w:hAnsi="仿宋" w:eastAsia="仿宋"/>
          <w:b w:val="0"/>
          <w:bCs w:val="0"/>
          <w:sz w:val="28"/>
          <w:szCs w:val="28"/>
        </w:rPr>
        <w:t>《突发性环境污染事故应急监测与处理技术》</w:t>
      </w:r>
    </w:p>
    <w:p>
      <w:pPr>
        <w:pStyle w:val="95"/>
        <w:spacing w:line="520" w:lineRule="exact"/>
        <w:ind w:firstLine="562"/>
        <w:rPr>
          <w:rFonts w:eastAsia="仿宋"/>
          <w:b w:val="0"/>
          <w:bCs w:val="0"/>
          <w:sz w:val="28"/>
          <w:szCs w:val="28"/>
        </w:rPr>
      </w:pPr>
      <w:r>
        <w:rPr>
          <w:rFonts w:hAnsi="仿宋" w:eastAsia="仿宋"/>
          <w:b w:val="0"/>
          <w:bCs w:val="0"/>
          <w:sz w:val="28"/>
          <w:szCs w:val="28"/>
        </w:rPr>
        <w:t>《突发环境事件应急监测技术规范》</w:t>
      </w:r>
    </w:p>
    <w:p>
      <w:pPr>
        <w:pStyle w:val="9"/>
        <w:spacing w:before="0" w:after="0" w:line="520" w:lineRule="exact"/>
        <w:ind w:left="0" w:firstLine="0"/>
        <w:rPr>
          <w:rFonts w:hAnsi="仿宋" w:eastAsia="仿宋"/>
        </w:rPr>
      </w:pPr>
      <w:r>
        <w:rPr>
          <w:rFonts w:hint="eastAsia" w:hAnsi="仿宋" w:eastAsia="仿宋"/>
        </w:rPr>
        <w:t>应急监测实施</w:t>
      </w:r>
    </w:p>
    <w:p>
      <w:pPr>
        <w:pStyle w:val="95"/>
        <w:spacing w:line="520" w:lineRule="exact"/>
        <w:ind w:firstLine="562"/>
        <w:jc w:val="both"/>
        <w:rPr>
          <w:rFonts w:eastAsia="仿宋"/>
          <w:b w:val="0"/>
          <w:bCs w:val="0"/>
          <w:sz w:val="28"/>
          <w:szCs w:val="28"/>
        </w:rPr>
      </w:pPr>
      <w:r>
        <w:rPr>
          <w:rFonts w:hAnsi="仿宋" w:eastAsia="仿宋"/>
          <w:b w:val="0"/>
          <w:bCs w:val="0"/>
          <w:sz w:val="28"/>
          <w:szCs w:val="28"/>
        </w:rPr>
        <w:t>加强日常管理，做好应急监测的日常准备公众。应急环保监察组成员应充分熟悉所负责的区域、监测点位、监测项目、监测流程，对所属的监测仪器、试剂做到统一管理、清晰有数，方便及时调用。</w:t>
      </w:r>
    </w:p>
    <w:p>
      <w:pPr>
        <w:pStyle w:val="95"/>
        <w:spacing w:line="520" w:lineRule="exact"/>
        <w:ind w:firstLine="562"/>
        <w:jc w:val="both"/>
        <w:rPr>
          <w:rFonts w:eastAsia="仿宋"/>
          <w:b w:val="0"/>
          <w:bCs w:val="0"/>
          <w:sz w:val="28"/>
          <w:szCs w:val="28"/>
        </w:rPr>
      </w:pPr>
      <w:r>
        <w:rPr>
          <w:rFonts w:hAnsi="仿宋" w:eastAsia="仿宋"/>
          <w:b w:val="0"/>
          <w:bCs w:val="0"/>
          <w:sz w:val="28"/>
          <w:szCs w:val="28"/>
        </w:rPr>
        <w:t>响应发生时，应依据公司应急调查组对突发环境污染事故的调查结果和应急指挥组的响应指令对事故区域进行环境监测，主要进行水质超标严重、应急处置措施无法将风险控制在可接受范围内，应及时上报应急指挥组决定如何采取经一步措施。</w:t>
      </w:r>
    </w:p>
    <w:p>
      <w:pPr>
        <w:pStyle w:val="95"/>
        <w:spacing w:line="520" w:lineRule="exact"/>
        <w:ind w:firstLine="562"/>
        <w:jc w:val="both"/>
        <w:rPr>
          <w:rFonts w:eastAsia="仿宋"/>
          <w:b w:val="0"/>
          <w:bCs w:val="0"/>
          <w:sz w:val="28"/>
          <w:szCs w:val="28"/>
        </w:rPr>
      </w:pPr>
      <w:r>
        <w:rPr>
          <w:rFonts w:hAnsi="仿宋" w:eastAsia="仿宋"/>
          <w:b w:val="0"/>
          <w:bCs w:val="0"/>
          <w:sz w:val="28"/>
          <w:szCs w:val="28"/>
        </w:rPr>
        <w:t>现场监测人员应当做好监测记录，包括事件、气温、气压、水温、流速、水位等各环境要素。对采样点的具体位置以及当时的情况做详细描述；遵循应急监测与现场采样方法，按相关规定采集水样并及时加药保存。</w:t>
      </w:r>
    </w:p>
    <w:p>
      <w:pPr>
        <w:pStyle w:val="95"/>
        <w:spacing w:line="520" w:lineRule="exact"/>
        <w:ind w:firstLine="562"/>
        <w:jc w:val="both"/>
        <w:rPr>
          <w:rFonts w:hint="eastAsia" w:hAnsi="仿宋" w:eastAsia="仿宋"/>
          <w:b w:val="0"/>
          <w:bCs w:val="0"/>
          <w:sz w:val="28"/>
          <w:szCs w:val="28"/>
          <w:lang w:val="en-US" w:eastAsia="zh-CN"/>
        </w:rPr>
      </w:pPr>
      <w:r>
        <w:rPr>
          <w:rFonts w:hAnsi="仿宋" w:eastAsia="仿宋"/>
          <w:b w:val="0"/>
          <w:bCs w:val="0"/>
          <w:sz w:val="28"/>
          <w:szCs w:val="28"/>
        </w:rPr>
        <w:t>实验室分析人员应当严格规范认真分析，采取有效的质控措施和手段，保证监测数据的准确可靠，及时上报监测结果以供应急指挥组和相关部门确定进一步应急处置行动。在公司监测组力量（包括人力、物力）不够的情况下，应请求外部支援，向宜昌市环境监测站及具有相关资质的第三方单位进行协同监测。</w:t>
      </w:r>
    </w:p>
    <w:p>
      <w:pPr>
        <w:pStyle w:val="95"/>
        <w:spacing w:line="520" w:lineRule="exact"/>
        <w:ind w:left="0" w:leftChars="0" w:firstLine="0" w:firstLineChars="0"/>
        <w:rPr>
          <w:rFonts w:hint="eastAsia" w:hAnsi="仿宋" w:eastAsia="仿宋"/>
          <w:b w:val="0"/>
          <w:bCs w:val="0"/>
          <w:sz w:val="28"/>
          <w:szCs w:val="28"/>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p>
    <w:p>
      <w:pPr>
        <w:pStyle w:val="95"/>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color w:val="FF0000"/>
          <w:sz w:val="20"/>
          <w:szCs w:val="24"/>
        </w:rPr>
      </w:pPr>
      <w:r>
        <w:rPr>
          <w:rFonts w:hint="eastAsia"/>
          <w:color w:val="FF0000"/>
          <w:sz w:val="20"/>
          <w:szCs w:val="24"/>
        </w:rPr>
        <w:drawing>
          <wp:inline distT="0" distB="0" distL="114300" distR="114300">
            <wp:extent cx="8351520" cy="4346575"/>
            <wp:effectExtent l="0" t="0" r="11430" b="0"/>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37"/>
                    <a:stretch>
                      <a:fillRect/>
                    </a:stretch>
                  </pic:blipFill>
                  <pic:spPr>
                    <a:xfrm>
                      <a:off x="0" y="0"/>
                      <a:ext cx="8351520" cy="4346575"/>
                    </a:xfrm>
                    <a:prstGeom prst="rect">
                      <a:avLst/>
                    </a:prstGeom>
                    <a:noFill/>
                    <a:ln>
                      <a:noFill/>
                    </a:ln>
                  </pic:spPr>
                </pic:pic>
              </a:graphicData>
            </a:graphic>
          </wp:inline>
        </w:drawing>
      </w:r>
    </w:p>
    <w:p>
      <w:pPr>
        <w:pStyle w:val="95"/>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color w:val="FF0000"/>
          <w:sz w:val="20"/>
          <w:szCs w:val="24"/>
        </w:rPr>
      </w:pPr>
      <w:r>
        <w:rPr>
          <w:rFonts w:hint="eastAsia" w:ascii="Times New Roman" w:hAnsi="Times New Roman" w:eastAsia="仿宋" w:cs="Times New Roman"/>
          <w:b w:val="0"/>
          <w:bCs w:val="0"/>
          <w:snapToGrid/>
          <w:color w:val="FF0000"/>
          <w:kern w:val="2"/>
          <w:sz w:val="28"/>
          <w:szCs w:val="28"/>
          <w:lang w:val="en-US" w:eastAsia="zh-CN" w:bidi="ar-SA"/>
        </w:rPr>
        <w:t>图</w:t>
      </w:r>
      <w:r>
        <w:rPr>
          <w:rFonts w:hint="eastAsia" w:eastAsia="仿宋" w:cs="Times New Roman"/>
          <w:b w:val="0"/>
          <w:bCs w:val="0"/>
          <w:snapToGrid/>
          <w:color w:val="FF0000"/>
          <w:kern w:val="2"/>
          <w:sz w:val="28"/>
          <w:szCs w:val="28"/>
          <w:lang w:val="en-US" w:eastAsia="zh-CN" w:bidi="ar-SA"/>
        </w:rPr>
        <w:t xml:space="preserve">7.6-1  </w:t>
      </w:r>
      <w:r>
        <w:rPr>
          <w:rFonts w:hint="eastAsia" w:ascii="Times New Roman" w:hAnsi="Times New Roman" w:eastAsia="仿宋" w:cs="Times New Roman"/>
          <w:b w:val="0"/>
          <w:bCs w:val="0"/>
          <w:snapToGrid/>
          <w:color w:val="FF0000"/>
          <w:kern w:val="2"/>
          <w:sz w:val="28"/>
          <w:szCs w:val="28"/>
          <w:lang w:val="en-US" w:eastAsia="zh-CN" w:bidi="ar-SA"/>
        </w:rPr>
        <w:t>突发环境事件应急监测流程示意图</w:t>
      </w:r>
    </w:p>
    <w:p>
      <w:pPr>
        <w:pStyle w:val="95"/>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sz w:val="20"/>
          <w:szCs w:val="24"/>
        </w:rPr>
        <w:sectPr>
          <w:pgSz w:w="16838" w:h="11906" w:orient="landscape"/>
          <w:pgMar w:top="1800" w:right="1440" w:bottom="1800" w:left="1440" w:header="851" w:footer="992" w:gutter="0"/>
          <w:pgBorders>
            <w:top w:val="none" w:sz="0" w:space="0"/>
            <w:left w:val="none" w:sz="0" w:space="0"/>
            <w:bottom w:val="none" w:sz="0" w:space="0"/>
            <w:right w:val="none" w:sz="0" w:space="0"/>
          </w:pgBorders>
          <w:cols w:space="720" w:num="1"/>
          <w:docGrid w:type="lines" w:linePitch="312" w:charSpace="0"/>
        </w:sectPr>
      </w:pPr>
    </w:p>
    <w:p>
      <w:pPr>
        <w:pStyle w:val="6"/>
        <w:spacing w:before="0" w:beforeAutospacing="0" w:line="520" w:lineRule="exact"/>
        <w:ind w:left="0" w:firstLine="0"/>
        <w:rPr>
          <w:rFonts w:eastAsia="仿宋"/>
        </w:rPr>
      </w:pPr>
      <w:bookmarkStart w:id="103" w:name="_Toc472856711"/>
      <w:bookmarkStart w:id="104" w:name="_Toc31852"/>
      <w:bookmarkStart w:id="105" w:name="_Toc46843280"/>
      <w:r>
        <w:rPr>
          <w:rFonts w:hAnsi="仿宋" w:eastAsia="仿宋"/>
        </w:rPr>
        <w:t>信息报送和信息发布</w:t>
      </w:r>
      <w:bookmarkEnd w:id="103"/>
      <w:bookmarkEnd w:id="104"/>
      <w:bookmarkEnd w:id="105"/>
    </w:p>
    <w:p>
      <w:pPr>
        <w:pStyle w:val="95"/>
        <w:spacing w:line="520" w:lineRule="exact"/>
        <w:ind w:firstLine="562"/>
        <w:jc w:val="both"/>
        <w:rPr>
          <w:rFonts w:eastAsia="仿宋"/>
          <w:b w:val="0"/>
          <w:bCs w:val="0"/>
          <w:sz w:val="28"/>
          <w:szCs w:val="28"/>
        </w:rPr>
      </w:pPr>
      <w:bookmarkStart w:id="106" w:name="_Toc472856712"/>
      <w:r>
        <w:rPr>
          <w:rFonts w:eastAsia="仿宋"/>
          <w:b w:val="0"/>
          <w:bCs w:val="0"/>
          <w:sz w:val="28"/>
          <w:szCs w:val="28"/>
        </w:rPr>
        <w:t>1</w:t>
      </w:r>
      <w:r>
        <w:rPr>
          <w:rFonts w:hAnsi="仿宋" w:eastAsia="仿宋"/>
          <w:b w:val="0"/>
          <w:bCs w:val="0"/>
          <w:sz w:val="28"/>
          <w:szCs w:val="28"/>
        </w:rPr>
        <w:t>、信息报送</w:t>
      </w:r>
    </w:p>
    <w:p>
      <w:pPr>
        <w:pStyle w:val="95"/>
        <w:spacing w:line="520" w:lineRule="exact"/>
        <w:ind w:firstLine="562"/>
        <w:rPr>
          <w:rFonts w:eastAsia="仿宋"/>
          <w:b w:val="0"/>
          <w:bCs w:val="0"/>
          <w:sz w:val="28"/>
          <w:szCs w:val="28"/>
        </w:rPr>
      </w:pPr>
      <w:r>
        <w:rPr>
          <w:rFonts w:hAnsi="仿宋" w:eastAsia="仿宋"/>
          <w:b w:val="0"/>
          <w:bCs w:val="0"/>
          <w:sz w:val="28"/>
          <w:szCs w:val="28"/>
        </w:rPr>
        <w:t>当公司厂区内发生突发环境事件时，应在</w:t>
      </w:r>
      <w:r>
        <w:rPr>
          <w:rFonts w:eastAsia="仿宋"/>
          <w:b w:val="0"/>
          <w:bCs w:val="0"/>
          <w:sz w:val="28"/>
          <w:szCs w:val="28"/>
        </w:rPr>
        <w:t>10</w:t>
      </w:r>
      <w:r>
        <w:rPr>
          <w:rFonts w:hAnsi="仿宋" w:eastAsia="仿宋"/>
          <w:b w:val="0"/>
          <w:bCs w:val="0"/>
          <w:sz w:val="28"/>
          <w:szCs w:val="28"/>
        </w:rPr>
        <w:t>分钟内上报宜昌市生态环境局</w:t>
      </w:r>
      <w:r>
        <w:rPr>
          <w:rFonts w:hint="eastAsia" w:hAnsi="仿宋" w:eastAsia="仿宋"/>
          <w:b w:val="0"/>
          <w:bCs w:val="0"/>
          <w:sz w:val="28"/>
          <w:szCs w:val="28"/>
          <w:lang w:eastAsia="zh-CN"/>
        </w:rPr>
        <w:t>远安县</w:t>
      </w:r>
      <w:r>
        <w:rPr>
          <w:rFonts w:hAnsi="仿宋" w:eastAsia="仿宋"/>
          <w:b w:val="0"/>
          <w:bCs w:val="0"/>
          <w:sz w:val="28"/>
          <w:szCs w:val="28"/>
        </w:rPr>
        <w:t>分局或</w:t>
      </w:r>
      <w:r>
        <w:rPr>
          <w:rFonts w:hint="eastAsia" w:hAnsi="仿宋" w:eastAsia="仿宋"/>
          <w:b w:val="0"/>
          <w:bCs w:val="0"/>
          <w:sz w:val="28"/>
          <w:szCs w:val="28"/>
          <w:lang w:eastAsia="zh-CN"/>
        </w:rPr>
        <w:t>远安县应急管理局</w:t>
      </w:r>
      <w:r>
        <w:rPr>
          <w:rFonts w:hAnsi="仿宋" w:eastAsia="仿宋"/>
          <w:b w:val="0"/>
          <w:bCs w:val="0"/>
          <w:sz w:val="28"/>
          <w:szCs w:val="28"/>
        </w:rPr>
        <w:t>。上报内容包括突发环境事件的类型、发生时间、发生地点、主要污染物质、人员伤亡情况、采取的应急措施、潜在危害程度、转化方式趋向、自然环境和社会环境影响程度等。</w:t>
      </w:r>
    </w:p>
    <w:p>
      <w:pPr>
        <w:pStyle w:val="95"/>
        <w:spacing w:line="520" w:lineRule="exact"/>
        <w:ind w:firstLine="562"/>
        <w:jc w:val="both"/>
        <w:rPr>
          <w:rFonts w:eastAsia="仿宋"/>
          <w:b w:val="0"/>
          <w:bCs w:val="0"/>
          <w:sz w:val="28"/>
          <w:szCs w:val="28"/>
        </w:rPr>
      </w:pPr>
      <w:r>
        <w:rPr>
          <w:rFonts w:eastAsia="仿宋"/>
          <w:b w:val="0"/>
          <w:bCs w:val="0"/>
          <w:sz w:val="28"/>
          <w:szCs w:val="28"/>
        </w:rPr>
        <w:t>2</w:t>
      </w:r>
      <w:r>
        <w:rPr>
          <w:rFonts w:hAnsi="仿宋" w:eastAsia="仿宋"/>
          <w:b w:val="0"/>
          <w:bCs w:val="0"/>
          <w:sz w:val="28"/>
          <w:szCs w:val="28"/>
        </w:rPr>
        <w:t>、信息发布</w:t>
      </w:r>
    </w:p>
    <w:p>
      <w:pPr>
        <w:pStyle w:val="95"/>
        <w:spacing w:line="520" w:lineRule="exact"/>
        <w:ind w:firstLine="562"/>
        <w:jc w:val="both"/>
        <w:rPr>
          <w:rFonts w:eastAsia="仿宋"/>
          <w:b w:val="0"/>
          <w:bCs w:val="0"/>
          <w:sz w:val="28"/>
          <w:szCs w:val="28"/>
        </w:rPr>
      </w:pPr>
      <w:r>
        <w:rPr>
          <w:rFonts w:hAnsi="仿宋" w:eastAsia="仿宋"/>
          <w:b w:val="0"/>
          <w:bCs w:val="0"/>
          <w:sz w:val="28"/>
          <w:szCs w:val="28"/>
        </w:rPr>
        <w:t>环境污染突发事件对外信息发布由应急救援指挥领导小组决定，由组长或其授权人发布，信息发布应坚持如实、准确、客观的原则，决不能隐瞒事故情况，更不能扩大宣传。</w:t>
      </w:r>
    </w:p>
    <w:p>
      <w:pPr>
        <w:pStyle w:val="95"/>
        <w:spacing w:line="520" w:lineRule="exact"/>
        <w:ind w:firstLine="562"/>
        <w:jc w:val="both"/>
        <w:rPr>
          <w:rFonts w:hAnsi="仿宋" w:eastAsia="仿宋"/>
          <w:b w:val="0"/>
          <w:bCs w:val="0"/>
          <w:sz w:val="28"/>
          <w:szCs w:val="28"/>
        </w:rPr>
      </w:pPr>
      <w:r>
        <w:rPr>
          <w:rFonts w:hAnsi="仿宋" w:eastAsia="仿宋"/>
          <w:b w:val="0"/>
          <w:bCs w:val="0"/>
          <w:sz w:val="28"/>
          <w:szCs w:val="28"/>
        </w:rPr>
        <w:t>如发生的环境污染突发事件启动了扩大应急响应，动用了社会资源，由上一级应急指挥部负责信息发布，本公司配合。</w:t>
      </w:r>
    </w:p>
    <w:p>
      <w:pPr>
        <w:pStyle w:val="6"/>
        <w:spacing w:before="0" w:beforeAutospacing="0" w:line="520" w:lineRule="exact"/>
        <w:ind w:left="0" w:firstLine="0"/>
        <w:rPr>
          <w:rFonts w:hAnsi="仿宋" w:eastAsia="仿宋"/>
        </w:rPr>
      </w:pPr>
      <w:bookmarkStart w:id="107" w:name="_Toc9076"/>
      <w:r>
        <w:rPr>
          <w:rFonts w:hint="eastAsia" w:hAnsi="仿宋" w:eastAsia="仿宋"/>
        </w:rPr>
        <w:t>应急结束</w:t>
      </w:r>
      <w:bookmarkEnd w:id="107"/>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当遇险人员全部得救，事故现场得以控制，环境符合有关标准，可能导致次生、衍生事故的隐患消除后，经应急救援办公室确认和批准，现场应急处置工作结束，应急救援队伍撤离现场。重大环境事故灾难应急救援由上级部门宣布应急结束，开始事故调查工作。</w:t>
      </w:r>
    </w:p>
    <w:p>
      <w:pPr>
        <w:pStyle w:val="6"/>
        <w:spacing w:before="0" w:beforeAutospacing="0" w:line="520" w:lineRule="exact"/>
        <w:ind w:left="0" w:firstLine="0"/>
        <w:rPr>
          <w:rFonts w:eastAsia="仿宋"/>
        </w:rPr>
      </w:pPr>
      <w:bookmarkStart w:id="108" w:name="_Toc46843281"/>
      <w:bookmarkStart w:id="109" w:name="_Toc11634"/>
      <w:r>
        <w:rPr>
          <w:rFonts w:hAnsi="仿宋" w:eastAsia="仿宋"/>
        </w:rPr>
        <w:t>应急终止程序</w:t>
      </w:r>
      <w:bookmarkEnd w:id="106"/>
      <w:bookmarkEnd w:id="108"/>
      <w:bookmarkEnd w:id="109"/>
    </w:p>
    <w:p>
      <w:pPr>
        <w:pStyle w:val="8"/>
        <w:tabs>
          <w:tab w:val="clear" w:pos="425"/>
        </w:tabs>
        <w:spacing w:line="520" w:lineRule="exact"/>
        <w:ind w:left="0" w:firstLine="0"/>
        <w:rPr>
          <w:rFonts w:eastAsia="仿宋"/>
          <w:sz w:val="28"/>
          <w:szCs w:val="28"/>
        </w:rPr>
      </w:pPr>
      <w:r>
        <w:rPr>
          <w:rFonts w:hAnsi="仿宋" w:eastAsia="仿宋"/>
          <w:sz w:val="28"/>
          <w:szCs w:val="28"/>
        </w:rPr>
        <w:t>应急终止</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符合下列条件之一的，即满足应急终止条件：</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（1）环境事故现场得到有效控制，污染物处置成稳定状态，事故发生条件已解除，无继发可能。</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（2）污染源的泄漏或释放已降至规定限值以内；</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（3）事件所造成的危害已经被彻底消除；</w:t>
      </w:r>
    </w:p>
    <w:p>
      <w:pPr>
        <w:pStyle w:val="95"/>
        <w:spacing w:line="520" w:lineRule="exact"/>
        <w:ind w:firstLine="562"/>
        <w:rPr>
          <w:rFonts w:hAnsi="仿宋" w:eastAsia="仿宋"/>
          <w:b w:val="0"/>
          <w:bCs w:val="0"/>
          <w:sz w:val="28"/>
          <w:szCs w:val="28"/>
        </w:rPr>
      </w:pPr>
      <w:r>
        <w:rPr>
          <w:rFonts w:hint="eastAsia" w:hAnsi="仿宋" w:eastAsia="仿宋"/>
          <w:b w:val="0"/>
          <w:bCs w:val="0"/>
          <w:sz w:val="28"/>
          <w:szCs w:val="28"/>
        </w:rPr>
        <w:t>（4）事件现场的各种专业应急处置行动已无继续的必要；</w:t>
      </w:r>
    </w:p>
    <w:p>
      <w:pPr>
        <w:pStyle w:val="95"/>
        <w:spacing w:line="520" w:lineRule="exact"/>
        <w:ind w:firstLine="562"/>
        <w:rPr>
          <w:rFonts w:eastAsia="仿宋"/>
          <w:b w:val="0"/>
          <w:bCs w:val="0"/>
          <w:sz w:val="28"/>
          <w:szCs w:val="28"/>
        </w:rPr>
      </w:pPr>
      <w:r>
        <w:rPr>
          <w:rFonts w:hint="eastAsia" w:hAnsi="仿宋" w:eastAsia="仿宋"/>
          <w:b w:val="0"/>
          <w:bCs w:val="0"/>
          <w:sz w:val="28"/>
          <w:szCs w:val="28"/>
        </w:rPr>
        <w:t>（5）采取了必要的防护措施，保护公众免受再次危害，并使事件可能引起的中长期影响趋于合理乃至尽量低的水平</w:t>
      </w:r>
      <w:r>
        <w:rPr>
          <w:rFonts w:hAnsi="仿宋" w:eastAsia="仿宋"/>
          <w:b w:val="0"/>
          <w:bCs w:val="0"/>
          <w:sz w:val="28"/>
          <w:szCs w:val="28"/>
        </w:rPr>
        <w:t>。</w:t>
      </w:r>
    </w:p>
    <w:p>
      <w:pPr>
        <w:pStyle w:val="8"/>
        <w:tabs>
          <w:tab w:val="clear" w:pos="425"/>
        </w:tabs>
        <w:spacing w:line="520" w:lineRule="exact"/>
        <w:ind w:left="0" w:firstLine="0"/>
        <w:rPr>
          <w:rFonts w:eastAsia="仿宋"/>
          <w:sz w:val="28"/>
          <w:szCs w:val="28"/>
        </w:rPr>
      </w:pPr>
      <w:r>
        <w:rPr>
          <w:rFonts w:hint="eastAsia" w:hAnsi="仿宋" w:eastAsia="仿宋"/>
          <w:sz w:val="28"/>
          <w:szCs w:val="28"/>
        </w:rPr>
        <w:t>应急终止的程序</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（1）现场救援指挥部根据应急事故的处理，当符合上述规定中任何一种情况，即可确认终止应急，或由发生事件的责任单位提出，经现场救援指挥部批准；</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（2）现场救援指挥部可向所属各专业救援队伍下达应急终止命令；</w:t>
      </w:r>
    </w:p>
    <w:p>
      <w:pPr>
        <w:pStyle w:val="95"/>
        <w:spacing w:line="520" w:lineRule="exact"/>
        <w:ind w:firstLine="562"/>
        <w:jc w:val="both"/>
        <w:rPr>
          <w:rFonts w:hAnsi="仿宋" w:eastAsia="仿宋"/>
          <w:b w:val="0"/>
          <w:bCs w:val="0"/>
          <w:sz w:val="28"/>
          <w:szCs w:val="28"/>
        </w:rPr>
      </w:pPr>
      <w:r>
        <w:rPr>
          <w:rFonts w:hint="eastAsia" w:hAnsi="仿宋" w:eastAsia="仿宋"/>
          <w:b w:val="0"/>
          <w:bCs w:val="0"/>
          <w:sz w:val="28"/>
          <w:szCs w:val="28"/>
        </w:rPr>
        <w:t>（3）应急状态终止后，相应类别环境事件专业应急指挥部应根据政府相关部门的有关指示和实际情况，继续进行环境监测和评价工作，直至其他补救措施无需继续进行为止。</w:t>
      </w:r>
    </w:p>
    <w:p>
      <w:pPr>
        <w:pStyle w:val="8"/>
        <w:tabs>
          <w:tab w:val="clear" w:pos="425"/>
        </w:tabs>
        <w:spacing w:line="520" w:lineRule="exact"/>
        <w:ind w:left="0" w:firstLine="0"/>
        <w:rPr>
          <w:rFonts w:eastAsia="仿宋"/>
          <w:sz w:val="28"/>
          <w:szCs w:val="28"/>
        </w:rPr>
      </w:pPr>
      <w:r>
        <w:rPr>
          <w:rFonts w:hAnsi="仿宋" w:eastAsia="仿宋"/>
          <w:sz w:val="28"/>
          <w:szCs w:val="28"/>
        </w:rPr>
        <w:t>应急终止命令发布</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1</w:t>
      </w:r>
      <w:r>
        <w:rPr>
          <w:rFonts w:hAnsi="仿宋" w:eastAsia="仿宋"/>
          <w:b w:val="0"/>
          <w:bCs w:val="0"/>
          <w:sz w:val="28"/>
          <w:szCs w:val="28"/>
        </w:rPr>
        <w:t>）各专业队伍依次向应急指挥组报告应急处理情况，以及现场当前状态，包括人员伤亡情况、设备损失情况、环境污染情况等。应急指挥组根据情况确认，宣布终止环境应急响应；</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2</w:t>
      </w:r>
      <w:r>
        <w:rPr>
          <w:rFonts w:hAnsi="仿宋" w:eastAsia="仿宋"/>
          <w:b w:val="0"/>
          <w:bCs w:val="0"/>
          <w:sz w:val="28"/>
          <w:szCs w:val="28"/>
        </w:rPr>
        <w:t>）应急指挥组负责组织保护现场，组织事故调查取证；</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3</w:t>
      </w:r>
      <w:r>
        <w:rPr>
          <w:rFonts w:hAnsi="仿宋" w:eastAsia="仿宋"/>
          <w:b w:val="0"/>
          <w:bCs w:val="0"/>
          <w:sz w:val="28"/>
          <w:szCs w:val="28"/>
        </w:rPr>
        <w:t>）经应急指挥组决定，应急指挥组报告</w:t>
      </w:r>
      <w:r>
        <w:rPr>
          <w:rFonts w:hint="eastAsia" w:hAnsi="仿宋" w:eastAsia="仿宋"/>
          <w:b w:val="0"/>
          <w:bCs w:val="0"/>
          <w:sz w:val="28"/>
          <w:szCs w:val="28"/>
        </w:rPr>
        <w:t>宜昌碧华</w:t>
      </w:r>
      <w:r>
        <w:rPr>
          <w:rFonts w:hAnsi="仿宋" w:eastAsia="仿宋"/>
          <w:b w:val="0"/>
          <w:bCs w:val="0"/>
          <w:sz w:val="28"/>
          <w:szCs w:val="28"/>
        </w:rPr>
        <w:t>环保科技有限公司上级相应负责部门，将疏散的周边村庄的人员撤回；</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4</w:t>
      </w:r>
      <w:r>
        <w:rPr>
          <w:rFonts w:hAnsi="仿宋" w:eastAsia="仿宋"/>
          <w:b w:val="0"/>
          <w:bCs w:val="0"/>
          <w:sz w:val="28"/>
          <w:szCs w:val="28"/>
        </w:rPr>
        <w:t>）经应急指挥组决定，应急指挥组通知撤离人员返回各自岗位；</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5</w:t>
      </w:r>
      <w:r>
        <w:rPr>
          <w:rFonts w:hAnsi="仿宋" w:eastAsia="仿宋"/>
          <w:b w:val="0"/>
          <w:bCs w:val="0"/>
          <w:sz w:val="28"/>
          <w:szCs w:val="28"/>
        </w:rPr>
        <w:t>）应急指挥组对紧急救援工作进行总结、上报；</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6</w:t>
      </w:r>
      <w:r>
        <w:rPr>
          <w:rFonts w:hAnsi="仿宋" w:eastAsia="仿宋"/>
          <w:b w:val="0"/>
          <w:bCs w:val="0"/>
          <w:sz w:val="28"/>
          <w:szCs w:val="28"/>
        </w:rPr>
        <w:t>）组织好受伤人员的医疗救治，处理后工作；</w:t>
      </w:r>
    </w:p>
    <w:p>
      <w:pPr>
        <w:pStyle w:val="95"/>
        <w:spacing w:line="520" w:lineRule="exact"/>
        <w:ind w:firstLine="562"/>
        <w:jc w:val="both"/>
        <w:rPr>
          <w:rFonts w:eastAsia="仿宋"/>
          <w:b w:val="0"/>
          <w:bCs w:val="0"/>
          <w:sz w:val="28"/>
          <w:szCs w:val="28"/>
        </w:rPr>
      </w:pPr>
      <w:r>
        <w:rPr>
          <w:rFonts w:hAnsi="仿宋" w:eastAsia="仿宋"/>
          <w:b w:val="0"/>
          <w:bCs w:val="0"/>
          <w:sz w:val="28"/>
          <w:szCs w:val="28"/>
        </w:rPr>
        <w:t>（</w:t>
      </w:r>
      <w:r>
        <w:rPr>
          <w:rFonts w:eastAsia="仿宋"/>
          <w:b w:val="0"/>
          <w:bCs w:val="0"/>
          <w:sz w:val="28"/>
          <w:szCs w:val="28"/>
        </w:rPr>
        <w:t>7</w:t>
      </w:r>
      <w:r>
        <w:rPr>
          <w:rFonts w:hAnsi="仿宋" w:eastAsia="仿宋"/>
          <w:b w:val="0"/>
          <w:bCs w:val="0"/>
          <w:sz w:val="28"/>
          <w:szCs w:val="28"/>
        </w:rPr>
        <w:t>）厂办负责人指导各工艺车间恢复生产。</w:t>
      </w:r>
    </w:p>
    <w:p>
      <w:pPr>
        <w:pStyle w:val="95"/>
        <w:spacing w:line="520" w:lineRule="exact"/>
        <w:ind w:firstLine="562"/>
        <w:jc w:val="both"/>
        <w:rPr>
          <w:rFonts w:eastAsia="仿宋"/>
          <w:b w:val="0"/>
          <w:bCs w:val="0"/>
          <w:sz w:val="28"/>
          <w:szCs w:val="28"/>
        </w:rPr>
      </w:pPr>
      <w:r>
        <w:rPr>
          <w:rFonts w:hAnsi="仿宋" w:eastAsia="仿宋"/>
          <w:b w:val="0"/>
          <w:bCs w:val="0"/>
          <w:sz w:val="28"/>
          <w:szCs w:val="28"/>
        </w:rPr>
        <w:t>应急终止的信息，应以手机短信、电话、书面或其他有效方式通知到参加应急救援的车间、单位、厂区和人员以及周边政府、单位和居民。</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应急终止后的行动</w:t>
      </w:r>
    </w:p>
    <w:p>
      <w:pPr>
        <w:pStyle w:val="95"/>
        <w:spacing w:line="520" w:lineRule="exact"/>
        <w:ind w:firstLine="562"/>
        <w:rPr>
          <w:rFonts w:eastAsia="仿宋"/>
          <w:b w:val="0"/>
          <w:bCs w:val="0"/>
          <w:sz w:val="28"/>
          <w:szCs w:val="28"/>
        </w:rPr>
      </w:pPr>
      <w:r>
        <w:rPr>
          <w:rFonts w:hint="eastAsia" w:eastAsia="仿宋"/>
          <w:b w:val="0"/>
          <w:bCs w:val="0"/>
          <w:sz w:val="28"/>
          <w:szCs w:val="28"/>
        </w:rPr>
        <w:t>（1）对现场暴露工作人员、应急行动人员和受污染的设施、设备进行洗消清洁。</w:t>
      </w:r>
    </w:p>
    <w:p>
      <w:pPr>
        <w:pStyle w:val="95"/>
        <w:spacing w:line="520" w:lineRule="exact"/>
        <w:ind w:firstLine="562"/>
        <w:rPr>
          <w:rFonts w:eastAsia="仿宋"/>
          <w:b w:val="0"/>
          <w:bCs w:val="0"/>
          <w:sz w:val="28"/>
          <w:szCs w:val="28"/>
        </w:rPr>
      </w:pPr>
      <w:r>
        <w:rPr>
          <w:rFonts w:hint="eastAsia" w:eastAsia="仿宋"/>
          <w:b w:val="0"/>
          <w:bCs w:val="0"/>
          <w:sz w:val="28"/>
          <w:szCs w:val="28"/>
        </w:rPr>
        <w:t>（2）调查事件原因，初步评估事件影响、损失、危害范围和程度，查明人员伤亡情况。</w:t>
      </w:r>
    </w:p>
    <w:p>
      <w:pPr>
        <w:pStyle w:val="95"/>
        <w:spacing w:line="520" w:lineRule="exact"/>
        <w:ind w:firstLine="562"/>
        <w:rPr>
          <w:rFonts w:eastAsia="仿宋"/>
          <w:b w:val="0"/>
          <w:bCs w:val="0"/>
          <w:sz w:val="28"/>
          <w:szCs w:val="28"/>
        </w:rPr>
      </w:pPr>
      <w:r>
        <w:rPr>
          <w:rFonts w:hint="eastAsia" w:eastAsia="仿宋"/>
          <w:b w:val="0"/>
          <w:bCs w:val="0"/>
          <w:sz w:val="28"/>
          <w:szCs w:val="28"/>
        </w:rPr>
        <w:t>（3）全面检查和维护生产设施设备，清点救援物资消耗并及时补充，维护保养补充应急设备、设施和仪器。</w:t>
      </w:r>
    </w:p>
    <w:p>
      <w:pPr>
        <w:pStyle w:val="95"/>
        <w:spacing w:line="520" w:lineRule="exact"/>
        <w:ind w:firstLine="562"/>
        <w:rPr>
          <w:rFonts w:eastAsia="仿宋"/>
          <w:b w:val="0"/>
          <w:bCs w:val="0"/>
          <w:sz w:val="28"/>
          <w:szCs w:val="28"/>
        </w:rPr>
      </w:pPr>
      <w:r>
        <w:rPr>
          <w:rFonts w:hint="eastAsia" w:eastAsia="仿宋"/>
          <w:b w:val="0"/>
          <w:bCs w:val="0"/>
          <w:sz w:val="28"/>
          <w:szCs w:val="28"/>
        </w:rPr>
        <w:t>（4）对突发环境事件应急行动全过程进行评估，分析预案是否科学、有效，应急组织机构和应急队伍设置是否合理，应急响应和处置程序、方案制定执行是否科学、实用、到位，应急设施设备和物资是否满足需要等。</w:t>
      </w:r>
    </w:p>
    <w:p>
      <w:pPr>
        <w:pStyle w:val="95"/>
        <w:spacing w:line="520" w:lineRule="exact"/>
        <w:ind w:firstLine="562"/>
        <w:rPr>
          <w:rFonts w:eastAsia="仿宋"/>
          <w:b w:val="0"/>
          <w:bCs w:val="0"/>
          <w:sz w:val="28"/>
          <w:szCs w:val="28"/>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r>
        <w:rPr>
          <w:rFonts w:hint="eastAsia" w:eastAsia="仿宋"/>
          <w:b w:val="0"/>
          <w:bCs w:val="0"/>
          <w:sz w:val="28"/>
          <w:szCs w:val="28"/>
        </w:rPr>
        <w:t>（5）编制应急救援工作总结报告，必要时对应急预案进行修订、完善。</w:t>
      </w:r>
    </w:p>
    <w:bookmarkEnd w:id="49"/>
    <w:p>
      <w:pPr>
        <w:pStyle w:val="5"/>
        <w:spacing w:beforeLines="0" w:afterLines="0" w:line="520" w:lineRule="exact"/>
        <w:ind w:left="0" w:firstLine="0"/>
      </w:pPr>
      <w:bookmarkStart w:id="110" w:name="_Toc12458"/>
      <w:bookmarkStart w:id="111" w:name="_Toc472856713"/>
      <w:r>
        <w:t>后期处置</w:t>
      </w:r>
      <w:bookmarkEnd w:id="110"/>
      <w:bookmarkEnd w:id="111"/>
    </w:p>
    <w:p>
      <w:pPr>
        <w:pStyle w:val="6"/>
        <w:spacing w:before="0" w:beforeAutospacing="0" w:line="520" w:lineRule="exact"/>
        <w:ind w:left="0" w:firstLine="0"/>
      </w:pPr>
      <w:bookmarkStart w:id="112" w:name="_Toc10270"/>
      <w:bookmarkStart w:id="113" w:name="_Toc472856714"/>
      <w:r>
        <w:t>善后处置</w:t>
      </w:r>
      <w:bookmarkEnd w:id="112"/>
      <w:bookmarkEnd w:id="113"/>
    </w:p>
    <w:p>
      <w:pPr>
        <w:pStyle w:val="95"/>
        <w:spacing w:line="520" w:lineRule="exact"/>
        <w:ind w:firstLine="560"/>
        <w:rPr>
          <w:b w:val="0"/>
          <w:bCs w:val="0"/>
          <w:sz w:val="28"/>
          <w:szCs w:val="28"/>
        </w:rPr>
      </w:pPr>
      <w:r>
        <w:rPr>
          <w:rFonts w:hint="eastAsia"/>
          <w:b w:val="0"/>
          <w:bCs w:val="0"/>
          <w:sz w:val="28"/>
          <w:szCs w:val="28"/>
        </w:rPr>
        <w:t>现场清理工作由应急指挥小组负责，污染物收集、处理工作在环保、环卫等政府或专业部门的指导下实施，并由环保专业部门出具一份污染损坏鉴定评估报告，尽量采取措施将环境恢复到相对稳定的状态。在应急指挥部的领导下，搞好善后处理工作（包括人员安置、赔偿、停产整顿、生态环境修复），尽快消除影响，妥善安置并及时救治伤员。</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受灾人员善后处理工作</w:t>
      </w:r>
    </w:p>
    <w:p>
      <w:pPr>
        <w:pStyle w:val="95"/>
        <w:spacing w:line="520" w:lineRule="exact"/>
        <w:ind w:firstLine="560"/>
        <w:jc w:val="both"/>
        <w:rPr>
          <w:b w:val="0"/>
          <w:bCs w:val="0"/>
          <w:sz w:val="28"/>
          <w:szCs w:val="28"/>
        </w:rPr>
      </w:pPr>
      <w:r>
        <w:rPr>
          <w:rFonts w:hint="eastAsia"/>
          <w:b w:val="0"/>
          <w:bCs w:val="0"/>
          <w:sz w:val="28"/>
          <w:szCs w:val="28"/>
        </w:rPr>
        <w:t>企业应协助</w:t>
      </w:r>
      <w:r>
        <w:rPr>
          <w:rFonts w:hint="eastAsia"/>
          <w:b w:val="0"/>
          <w:bCs w:val="0"/>
          <w:sz w:val="28"/>
          <w:szCs w:val="28"/>
          <w:lang w:eastAsia="zh-CN"/>
        </w:rPr>
        <w:t>远安县</w:t>
      </w:r>
      <w:r>
        <w:rPr>
          <w:rFonts w:hint="eastAsia"/>
          <w:b w:val="0"/>
          <w:bCs w:val="0"/>
          <w:sz w:val="28"/>
          <w:szCs w:val="28"/>
        </w:rPr>
        <w:t>和宜昌市人民政府做好善后处置工作，包括伤亡救援人员、遇难人员补偿、亲属安置、征用物资补偿、救援费用支付、灾后重建、污染物收集、清理与处理等事项。负责恢复正常工作秩序，消除事故后果和影响，安抚受害和受影响人员，保证社会稳定。</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中长期环境影响评估</w:t>
      </w:r>
    </w:p>
    <w:p>
      <w:pPr>
        <w:pStyle w:val="95"/>
        <w:spacing w:line="520" w:lineRule="exact"/>
        <w:ind w:firstLine="560"/>
        <w:jc w:val="both"/>
        <w:rPr>
          <w:b w:val="0"/>
          <w:bCs w:val="0"/>
          <w:sz w:val="28"/>
          <w:szCs w:val="28"/>
        </w:rPr>
      </w:pPr>
      <w:r>
        <w:rPr>
          <w:rFonts w:hint="eastAsia"/>
          <w:b w:val="0"/>
          <w:bCs w:val="0"/>
          <w:sz w:val="28"/>
          <w:szCs w:val="28"/>
        </w:rPr>
        <w:t>突发环境事故若对企业周边及下游区域大气或水体环境产生重大影响，必须进行长期监测与环境质量评估，企业需要认真收集、整理突发环境事故的性质、污染程度，监测结果记录等资料，积极配合有关部门对突发环境事件的中长期环境影响评估。</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开展环境恢复与重建工作</w:t>
      </w:r>
    </w:p>
    <w:p>
      <w:pPr>
        <w:pStyle w:val="95"/>
        <w:spacing w:line="520" w:lineRule="exact"/>
        <w:ind w:firstLine="560"/>
        <w:rPr>
          <w:b w:val="0"/>
          <w:bCs w:val="0"/>
          <w:sz w:val="28"/>
          <w:szCs w:val="28"/>
        </w:rPr>
      </w:pPr>
      <w:r>
        <w:rPr>
          <w:rFonts w:hint="eastAsia"/>
          <w:b w:val="0"/>
          <w:bCs w:val="0"/>
          <w:sz w:val="28"/>
          <w:szCs w:val="28"/>
        </w:rPr>
        <w:t>（1）环境恢复措施</w:t>
      </w:r>
    </w:p>
    <w:p>
      <w:pPr>
        <w:pStyle w:val="95"/>
        <w:spacing w:line="520" w:lineRule="exact"/>
        <w:ind w:firstLine="560"/>
        <w:rPr>
          <w:b w:val="0"/>
          <w:bCs w:val="0"/>
          <w:sz w:val="28"/>
          <w:szCs w:val="28"/>
        </w:rPr>
      </w:pPr>
      <w:r>
        <w:rPr>
          <w:rFonts w:hint="eastAsia"/>
          <w:b w:val="0"/>
          <w:bCs w:val="0"/>
          <w:sz w:val="28"/>
          <w:szCs w:val="28"/>
        </w:rPr>
        <w:t>根据事故发生地点、污染物的性质和当时气象条件，明确事故泄漏物污染的区域。</w:t>
      </w:r>
    </w:p>
    <w:p>
      <w:pPr>
        <w:pStyle w:val="95"/>
        <w:spacing w:line="520" w:lineRule="exact"/>
        <w:ind w:firstLine="560"/>
        <w:rPr>
          <w:b w:val="0"/>
          <w:bCs w:val="0"/>
          <w:sz w:val="28"/>
          <w:szCs w:val="28"/>
        </w:rPr>
      </w:pPr>
      <w:r>
        <w:rPr>
          <w:rFonts w:hint="eastAsia"/>
          <w:b w:val="0"/>
          <w:bCs w:val="0"/>
          <w:sz w:val="28"/>
          <w:szCs w:val="28"/>
        </w:rPr>
        <w:t>由应急咨询专家组对污染区域进行现场检测分析，明确污染环境污染物质、污染程度等因素，确定一个安全、有效、对环境影响最小的恢复方案。通过环境恢复方案的实施，使污染物浓度到达环境可接受水平。</w:t>
      </w:r>
    </w:p>
    <w:p>
      <w:pPr>
        <w:pStyle w:val="95"/>
        <w:spacing w:line="520" w:lineRule="exact"/>
        <w:ind w:firstLine="560"/>
        <w:rPr>
          <w:b w:val="0"/>
          <w:bCs w:val="0"/>
          <w:sz w:val="28"/>
          <w:szCs w:val="28"/>
        </w:rPr>
      </w:pPr>
      <w:r>
        <w:rPr>
          <w:rFonts w:hint="eastAsia"/>
          <w:b w:val="0"/>
          <w:bCs w:val="0"/>
          <w:sz w:val="28"/>
          <w:szCs w:val="28"/>
        </w:rPr>
        <w:t>根据现场情况，对污染的区域进行隔离，组织专业人员，穿戴好防护服，配备空气呼吸器，可用化学处理法，把用于环境恢复的化学品水溶液装于水管中，经消防泵加压后，通过水带、水枪以开花或喷雾水流喷洒，或者用活性碳、木屑等具有吸附能力的物质，吸附回收后转移处理，并及时对污染环境进行跟踪监测。</w:t>
      </w:r>
    </w:p>
    <w:p>
      <w:pPr>
        <w:pStyle w:val="95"/>
        <w:spacing w:line="520" w:lineRule="exact"/>
        <w:ind w:firstLine="560"/>
        <w:rPr>
          <w:b w:val="0"/>
          <w:bCs w:val="0"/>
          <w:sz w:val="28"/>
          <w:szCs w:val="28"/>
        </w:rPr>
      </w:pPr>
      <w:r>
        <w:rPr>
          <w:rFonts w:hint="eastAsia"/>
          <w:b w:val="0"/>
          <w:bCs w:val="0"/>
          <w:sz w:val="28"/>
          <w:szCs w:val="28"/>
        </w:rPr>
        <w:t>（2）水污染物处理</w:t>
      </w:r>
    </w:p>
    <w:p>
      <w:pPr>
        <w:pStyle w:val="95"/>
        <w:spacing w:line="520" w:lineRule="exact"/>
        <w:ind w:firstLine="560"/>
        <w:rPr>
          <w:b w:val="0"/>
          <w:bCs w:val="0"/>
          <w:sz w:val="28"/>
          <w:szCs w:val="28"/>
        </w:rPr>
      </w:pPr>
      <w:r>
        <w:rPr>
          <w:rFonts w:hint="eastAsia"/>
          <w:b w:val="0"/>
          <w:bCs w:val="0"/>
          <w:sz w:val="28"/>
          <w:szCs w:val="28"/>
        </w:rPr>
        <w:t>①因废水处理装置发生故障时，可将未处理废水导入废水处理站处的事故应急池（总容积</w:t>
      </w:r>
      <w:r>
        <w:rPr>
          <w:rFonts w:hint="eastAsia"/>
          <w:b w:val="0"/>
          <w:bCs w:val="0"/>
          <w:sz w:val="28"/>
          <w:szCs w:val="28"/>
          <w:lang w:val="en-US" w:eastAsia="zh-CN"/>
        </w:rPr>
        <w:t>6</w:t>
      </w:r>
      <w:r>
        <w:rPr>
          <w:rFonts w:hint="eastAsia"/>
          <w:b w:val="0"/>
          <w:bCs w:val="0"/>
          <w:sz w:val="28"/>
          <w:szCs w:val="28"/>
        </w:rPr>
        <w:t>00 m</w:t>
      </w:r>
      <w:r>
        <w:rPr>
          <w:rFonts w:hint="eastAsia"/>
          <w:b w:val="0"/>
          <w:bCs w:val="0"/>
          <w:sz w:val="28"/>
          <w:szCs w:val="28"/>
          <w:vertAlign w:val="superscript"/>
        </w:rPr>
        <w:t>3</w:t>
      </w:r>
      <w:r>
        <w:rPr>
          <w:rFonts w:hint="eastAsia"/>
          <w:b w:val="0"/>
          <w:bCs w:val="0"/>
          <w:sz w:val="28"/>
          <w:szCs w:val="28"/>
        </w:rPr>
        <w:t>）。所以非正常工况下，事故应急池具有一定的缓冲能力，因此，不会直接排入市政污水管网。</w:t>
      </w:r>
    </w:p>
    <w:p>
      <w:pPr>
        <w:pStyle w:val="95"/>
        <w:spacing w:line="520" w:lineRule="exact"/>
        <w:ind w:firstLine="560"/>
        <w:rPr>
          <w:b w:val="0"/>
          <w:bCs w:val="0"/>
          <w:sz w:val="28"/>
          <w:szCs w:val="28"/>
        </w:rPr>
      </w:pPr>
      <w:r>
        <w:rPr>
          <w:rFonts w:hint="eastAsia"/>
          <w:b w:val="0"/>
          <w:bCs w:val="0"/>
          <w:sz w:val="28"/>
          <w:szCs w:val="28"/>
        </w:rPr>
        <w:t>②企业突发环境事故排放会造成部分物料泄漏，在抢险过程中可能会用到水，并由此产生废水，此部分废水可引入事故应急池（总容积</w:t>
      </w:r>
      <w:r>
        <w:rPr>
          <w:rFonts w:hint="eastAsia"/>
          <w:b w:val="0"/>
          <w:bCs w:val="0"/>
          <w:sz w:val="28"/>
          <w:szCs w:val="28"/>
          <w:lang w:val="en-US" w:eastAsia="zh-CN"/>
        </w:rPr>
        <w:t>6</w:t>
      </w:r>
      <w:r>
        <w:rPr>
          <w:rFonts w:hint="eastAsia"/>
          <w:b w:val="0"/>
          <w:bCs w:val="0"/>
          <w:sz w:val="28"/>
          <w:szCs w:val="28"/>
        </w:rPr>
        <w:t>00 m</w:t>
      </w:r>
      <w:r>
        <w:rPr>
          <w:rFonts w:hint="eastAsia"/>
          <w:b w:val="0"/>
          <w:bCs w:val="0"/>
          <w:sz w:val="28"/>
          <w:szCs w:val="28"/>
          <w:vertAlign w:val="superscript"/>
        </w:rPr>
        <w:t>3</w:t>
      </w:r>
      <w:r>
        <w:rPr>
          <w:rFonts w:hint="eastAsia"/>
          <w:b w:val="0"/>
          <w:bCs w:val="0"/>
          <w:sz w:val="28"/>
          <w:szCs w:val="28"/>
        </w:rPr>
        <w:t>）暂存。当暂存废水水质浓度小于设计处理浓度且污水预处理设施处理能力满足需求时，废水常规污染物满足《污水综合排放标准》（GB 8978-1996）表 4 中三级标准，经厂区总排放口排入</w:t>
      </w:r>
      <w:r>
        <w:rPr>
          <w:rFonts w:hint="eastAsia"/>
          <w:b w:val="0"/>
          <w:bCs w:val="0"/>
          <w:sz w:val="28"/>
          <w:szCs w:val="28"/>
          <w:lang w:eastAsia="zh-CN"/>
        </w:rPr>
        <w:t>远安工业</w:t>
      </w:r>
      <w:r>
        <w:rPr>
          <w:rFonts w:hint="eastAsia"/>
          <w:b w:val="0"/>
          <w:bCs w:val="0"/>
          <w:sz w:val="28"/>
          <w:szCs w:val="28"/>
        </w:rPr>
        <w:t>污水处理厂。当废水水质浓度大于设计处理浓度或超出企业预污水处理设施处理能力时，企业应及时联系有资质单位，对该部分废水进行外运处理，确保达标排放。</w:t>
      </w:r>
    </w:p>
    <w:p>
      <w:pPr>
        <w:pStyle w:val="95"/>
        <w:spacing w:line="520" w:lineRule="exact"/>
        <w:ind w:firstLine="560"/>
        <w:rPr>
          <w:b w:val="0"/>
          <w:bCs w:val="0"/>
          <w:sz w:val="28"/>
          <w:szCs w:val="28"/>
        </w:rPr>
      </w:pPr>
      <w:r>
        <w:rPr>
          <w:rFonts w:hint="eastAsia"/>
          <w:b w:val="0"/>
          <w:bCs w:val="0"/>
          <w:sz w:val="28"/>
          <w:szCs w:val="28"/>
        </w:rPr>
        <w:t>（3）废气处理</w:t>
      </w:r>
    </w:p>
    <w:p>
      <w:pPr>
        <w:pStyle w:val="95"/>
        <w:spacing w:line="520" w:lineRule="exact"/>
        <w:ind w:firstLine="560"/>
        <w:rPr>
          <w:b w:val="0"/>
          <w:bCs w:val="0"/>
          <w:sz w:val="28"/>
          <w:szCs w:val="28"/>
        </w:rPr>
      </w:pPr>
      <w:r>
        <w:rPr>
          <w:rFonts w:hint="eastAsia"/>
          <w:b w:val="0"/>
          <w:bCs w:val="0"/>
          <w:sz w:val="28"/>
          <w:szCs w:val="28"/>
        </w:rPr>
        <w:t>如突发环境事故造成有毒有害气体排放进入空气，则当事故得到控制时，该部分废气已经基本上被周围空气流稀释、扩散，从而可能污染周边农作物及植物。企业应请相关专家进行调查分析，对于受影响的农作物及植物提出对应的补救措施，对于无法补救的，应按有关规定进行补偿。</w:t>
      </w:r>
    </w:p>
    <w:p>
      <w:pPr>
        <w:pStyle w:val="95"/>
        <w:spacing w:line="520" w:lineRule="exact"/>
        <w:ind w:firstLine="560"/>
        <w:rPr>
          <w:b w:val="0"/>
          <w:bCs w:val="0"/>
          <w:sz w:val="28"/>
          <w:szCs w:val="28"/>
        </w:rPr>
      </w:pPr>
      <w:r>
        <w:rPr>
          <w:rFonts w:hint="eastAsia"/>
          <w:b w:val="0"/>
          <w:bCs w:val="0"/>
          <w:sz w:val="28"/>
          <w:szCs w:val="28"/>
        </w:rPr>
        <w:t>（4）土壤修复</w:t>
      </w:r>
    </w:p>
    <w:p>
      <w:pPr>
        <w:pStyle w:val="95"/>
        <w:spacing w:line="520" w:lineRule="exact"/>
        <w:ind w:firstLine="560"/>
        <w:rPr>
          <w:b w:val="0"/>
          <w:bCs w:val="0"/>
          <w:sz w:val="28"/>
          <w:szCs w:val="28"/>
        </w:rPr>
      </w:pPr>
      <w:r>
        <w:rPr>
          <w:rFonts w:hint="eastAsia"/>
          <w:b w:val="0"/>
          <w:bCs w:val="0"/>
          <w:sz w:val="28"/>
          <w:szCs w:val="28"/>
        </w:rPr>
        <w:t>发生突发环境事故且造成有毒有害物质泄漏时，此部分液体可能会渗入土壤中，企业应收集此部分土壤，并委托有资质的单位处理。</w:t>
      </w:r>
    </w:p>
    <w:p>
      <w:pPr>
        <w:pStyle w:val="95"/>
        <w:spacing w:line="520" w:lineRule="exact"/>
        <w:ind w:firstLine="560"/>
        <w:rPr>
          <w:b w:val="0"/>
          <w:bCs w:val="0"/>
          <w:sz w:val="28"/>
          <w:szCs w:val="28"/>
        </w:rPr>
      </w:pPr>
      <w:r>
        <w:rPr>
          <w:rFonts w:hint="eastAsia"/>
          <w:b w:val="0"/>
          <w:bCs w:val="0"/>
          <w:sz w:val="28"/>
          <w:szCs w:val="28"/>
        </w:rPr>
        <w:t>（5）固废处理</w:t>
      </w:r>
    </w:p>
    <w:p>
      <w:pPr>
        <w:pStyle w:val="95"/>
        <w:spacing w:line="520" w:lineRule="exact"/>
        <w:ind w:firstLine="560"/>
        <w:rPr>
          <w:b w:val="0"/>
          <w:bCs w:val="0"/>
          <w:sz w:val="28"/>
          <w:szCs w:val="28"/>
        </w:rPr>
      </w:pPr>
      <w:r>
        <w:rPr>
          <w:rFonts w:hint="eastAsia"/>
          <w:b w:val="0"/>
          <w:bCs w:val="0"/>
          <w:sz w:val="28"/>
          <w:szCs w:val="28"/>
        </w:rPr>
        <w:t>突发环境事故处理结束后，会产生各种类型的固废（如废液、残渣、受污染的土壤等），此部分固废属于危险固废，企业应收集并委托有资质的单位处理。</w:t>
      </w:r>
    </w:p>
    <w:p>
      <w:pPr>
        <w:pStyle w:val="6"/>
        <w:spacing w:before="0" w:beforeAutospacing="0" w:line="520" w:lineRule="exact"/>
        <w:ind w:left="0" w:firstLine="0"/>
      </w:pPr>
      <w:bookmarkStart w:id="114" w:name="_Toc20573"/>
      <w:bookmarkStart w:id="115" w:name="_Toc472856715"/>
      <w:r>
        <w:t>次生灾害防范</w:t>
      </w:r>
      <w:bookmarkEnd w:id="114"/>
      <w:bookmarkEnd w:id="115"/>
    </w:p>
    <w:p>
      <w:pPr>
        <w:pStyle w:val="95"/>
        <w:spacing w:line="520" w:lineRule="exact"/>
        <w:ind w:firstLine="560"/>
        <w:rPr>
          <w:b w:val="0"/>
          <w:bCs w:val="0"/>
          <w:sz w:val="28"/>
          <w:szCs w:val="28"/>
        </w:rPr>
      </w:pPr>
      <w:r>
        <w:rPr>
          <w:b w:val="0"/>
          <w:bCs w:val="0"/>
          <w:sz w:val="28"/>
          <w:szCs w:val="28"/>
        </w:rPr>
        <w:t>（1）在现场调查部取证结束后，应立即对事故现场进行洗消，清理事故残留物及污染物。残留物及污染物的清理以不影响生产恢复和正常操作为标准，残留物要放在指定地点保管，待事故调查结束后再行处理；污染物洗消残液应注意收集，严禁直接排除厂外，</w:t>
      </w:r>
      <w:r>
        <w:rPr>
          <w:rFonts w:hint="eastAsia"/>
          <w:b w:val="0"/>
          <w:bCs w:val="0"/>
          <w:sz w:val="28"/>
          <w:szCs w:val="28"/>
        </w:rPr>
        <w:t>收集后作为危险废物交由相应有资质第三方危险废物处理单位处理</w:t>
      </w:r>
      <w:r>
        <w:rPr>
          <w:b w:val="0"/>
          <w:bCs w:val="0"/>
          <w:sz w:val="28"/>
          <w:szCs w:val="28"/>
        </w:rPr>
        <w:t>。</w:t>
      </w:r>
    </w:p>
    <w:p>
      <w:pPr>
        <w:pStyle w:val="95"/>
        <w:spacing w:line="520" w:lineRule="exact"/>
        <w:ind w:firstLine="560"/>
        <w:rPr>
          <w:b w:val="0"/>
          <w:bCs w:val="0"/>
          <w:sz w:val="28"/>
          <w:szCs w:val="28"/>
        </w:rPr>
      </w:pPr>
      <w:r>
        <w:rPr>
          <w:b w:val="0"/>
          <w:bCs w:val="0"/>
          <w:sz w:val="28"/>
          <w:szCs w:val="28"/>
        </w:rPr>
        <w:t>（2）洗消工作由</w:t>
      </w:r>
      <w:r>
        <w:rPr>
          <w:rFonts w:hint="eastAsia"/>
          <w:b w:val="0"/>
          <w:bCs w:val="0"/>
          <w:sz w:val="28"/>
          <w:szCs w:val="28"/>
        </w:rPr>
        <w:t>应急处置组</w:t>
      </w:r>
      <w:r>
        <w:rPr>
          <w:b w:val="0"/>
          <w:bCs w:val="0"/>
          <w:sz w:val="28"/>
          <w:szCs w:val="28"/>
        </w:rPr>
        <w:t>负责。洗消工作包括现场洗消和参加救援人员的洗消。</w:t>
      </w:r>
    </w:p>
    <w:p>
      <w:pPr>
        <w:pStyle w:val="6"/>
        <w:spacing w:before="0" w:beforeAutospacing="0" w:line="520" w:lineRule="exact"/>
        <w:ind w:left="0" w:firstLine="0"/>
      </w:pPr>
      <w:bookmarkStart w:id="116" w:name="_Toc472856716"/>
      <w:bookmarkStart w:id="117" w:name="_Toc13817"/>
      <w:r>
        <w:t>调查和评估</w:t>
      </w:r>
      <w:bookmarkEnd w:id="116"/>
      <w:bookmarkEnd w:id="117"/>
    </w:p>
    <w:p>
      <w:pPr>
        <w:pStyle w:val="95"/>
        <w:spacing w:line="520" w:lineRule="exact"/>
        <w:ind w:firstLine="560"/>
        <w:rPr>
          <w:b w:val="0"/>
          <w:bCs w:val="0"/>
          <w:sz w:val="28"/>
          <w:szCs w:val="28"/>
        </w:rPr>
      </w:pPr>
      <w:r>
        <w:rPr>
          <w:b w:val="0"/>
          <w:bCs w:val="0"/>
          <w:sz w:val="28"/>
          <w:szCs w:val="28"/>
        </w:rPr>
        <w:t>应急救援行动结束后，要立即成立专门工作小组，由公司</w:t>
      </w:r>
      <w:r>
        <w:rPr>
          <w:rFonts w:hint="eastAsia"/>
          <w:b w:val="0"/>
          <w:bCs w:val="0"/>
          <w:sz w:val="28"/>
          <w:szCs w:val="28"/>
        </w:rPr>
        <w:t>总经理</w:t>
      </w:r>
      <w:r>
        <w:rPr>
          <w:b w:val="0"/>
          <w:bCs w:val="0"/>
          <w:sz w:val="28"/>
          <w:szCs w:val="28"/>
        </w:rPr>
        <w:t>担任组长，</w:t>
      </w:r>
      <w:r>
        <w:rPr>
          <w:rFonts w:hint="eastAsia"/>
          <w:b w:val="0"/>
          <w:bCs w:val="0"/>
          <w:sz w:val="28"/>
          <w:szCs w:val="28"/>
        </w:rPr>
        <w:t>各公司成员</w:t>
      </w:r>
      <w:r>
        <w:rPr>
          <w:b w:val="0"/>
          <w:bCs w:val="0"/>
          <w:sz w:val="28"/>
          <w:szCs w:val="28"/>
        </w:rPr>
        <w:t>及责任单位组成，对污染事故作进一步调查了解，查明事故原因、危害程度、污染范围等，全面掌握事故基本情况，认真总结经验和教训，提出防止此类事故再次发生的改进措施，对责任人提出处理意见，并形成污染事故调查报告上报有关部门。在公司领导</w:t>
      </w:r>
      <w:r>
        <w:rPr>
          <w:rFonts w:hint="eastAsia"/>
          <w:b w:val="0"/>
          <w:bCs w:val="0"/>
          <w:sz w:val="28"/>
          <w:szCs w:val="28"/>
        </w:rPr>
        <w:t>及成员共同</w:t>
      </w:r>
      <w:r>
        <w:rPr>
          <w:b w:val="0"/>
          <w:bCs w:val="0"/>
          <w:sz w:val="28"/>
          <w:szCs w:val="28"/>
        </w:rPr>
        <w:t>研究制定恢复生产方案，尽早恢复生产。在公司</w:t>
      </w:r>
      <w:r>
        <w:rPr>
          <w:rFonts w:hint="eastAsia"/>
          <w:b w:val="0"/>
          <w:bCs w:val="0"/>
          <w:sz w:val="28"/>
          <w:szCs w:val="28"/>
        </w:rPr>
        <w:t>总经理</w:t>
      </w:r>
      <w:r>
        <w:rPr>
          <w:b w:val="0"/>
          <w:bCs w:val="0"/>
          <w:sz w:val="28"/>
          <w:szCs w:val="28"/>
        </w:rPr>
        <w:t>指挥下，由</w:t>
      </w:r>
      <w:r>
        <w:rPr>
          <w:rFonts w:hint="eastAsia"/>
          <w:b w:val="0"/>
          <w:bCs w:val="0"/>
          <w:sz w:val="28"/>
          <w:szCs w:val="28"/>
        </w:rPr>
        <w:t>全体公司成员</w:t>
      </w:r>
      <w:r>
        <w:rPr>
          <w:b w:val="0"/>
          <w:bCs w:val="0"/>
          <w:sz w:val="28"/>
          <w:szCs w:val="28"/>
        </w:rPr>
        <w:t>组成事故现场环境处理小组，研究制定处理措施并立即组织实施，以保护生态环境。</w:t>
      </w:r>
    </w:p>
    <w:p>
      <w:pPr>
        <w:pStyle w:val="6"/>
        <w:spacing w:before="0" w:beforeAutospacing="0" w:line="520" w:lineRule="exact"/>
        <w:ind w:left="0" w:firstLine="0"/>
      </w:pPr>
      <w:bookmarkStart w:id="118" w:name="_Toc2952"/>
      <w:r>
        <w:rPr>
          <w:rFonts w:hint="eastAsia"/>
        </w:rPr>
        <w:t>保险</w:t>
      </w:r>
      <w:bookmarkEnd w:id="118"/>
    </w:p>
    <w:p>
      <w:pPr>
        <w:pStyle w:val="95"/>
        <w:spacing w:line="520" w:lineRule="exact"/>
        <w:ind w:firstLine="560"/>
        <w:jc w:val="both"/>
        <w:rPr>
          <w:b w:val="0"/>
          <w:bCs w:val="0"/>
          <w:sz w:val="28"/>
          <w:szCs w:val="28"/>
        </w:rPr>
      </w:pPr>
      <w:r>
        <w:rPr>
          <w:rFonts w:hint="eastAsia"/>
          <w:b w:val="0"/>
          <w:bCs w:val="0"/>
          <w:sz w:val="28"/>
          <w:szCs w:val="28"/>
        </w:rPr>
        <w:t>企业应根据《国家突发环境事件应急预案》中 6.2 条款要求积极办理各类保险。对环境应急工作人员办理意外伤害保险，同时积极创造条件，公司依法办理突发环境污染事件责任险及其他险种。在发生突发环境事件后，企业应及时通报相关承保的保险公司开展理赔工作，保险公司在获悉突发环境事件后，工伤保险经办机构应及时足额支付参保的工伤保险待遇费用；各相关保险公司应及时定损理赔。</w:t>
      </w:r>
    </w:p>
    <w:p>
      <w:pPr>
        <w:pStyle w:val="6"/>
        <w:spacing w:before="0" w:beforeAutospacing="0" w:line="520" w:lineRule="exact"/>
        <w:ind w:left="0" w:firstLine="0"/>
      </w:pPr>
      <w:bookmarkStart w:id="119" w:name="_Toc21346"/>
      <w:r>
        <w:rPr>
          <w:rFonts w:hint="eastAsia"/>
        </w:rPr>
        <w:t>工作总结与评价</w:t>
      </w:r>
      <w:bookmarkEnd w:id="119"/>
    </w:p>
    <w:p>
      <w:pPr>
        <w:pStyle w:val="95"/>
        <w:spacing w:line="520" w:lineRule="exact"/>
        <w:ind w:firstLine="560"/>
        <w:jc w:val="both"/>
        <w:rPr>
          <w:b w:val="0"/>
          <w:bCs w:val="0"/>
          <w:sz w:val="28"/>
          <w:szCs w:val="28"/>
        </w:rPr>
      </w:pPr>
      <w:r>
        <w:rPr>
          <w:rFonts w:hint="eastAsia"/>
          <w:b w:val="0"/>
          <w:bCs w:val="0"/>
          <w:sz w:val="28"/>
          <w:szCs w:val="28"/>
        </w:rPr>
        <w:t>（1）突发性环境污染事件应急处理工作结束后，应组织相关部门认真总结、分析、吸取教训，及时进行整改；</w:t>
      </w:r>
    </w:p>
    <w:p>
      <w:pPr>
        <w:pStyle w:val="95"/>
        <w:spacing w:line="520" w:lineRule="exact"/>
        <w:ind w:firstLine="560"/>
        <w:jc w:val="both"/>
        <w:rPr>
          <w:b w:val="0"/>
          <w:bCs w:val="0"/>
          <w:sz w:val="28"/>
          <w:szCs w:val="28"/>
        </w:rPr>
      </w:pPr>
      <w:r>
        <w:rPr>
          <w:rFonts w:hint="eastAsia"/>
          <w:b w:val="0"/>
          <w:bCs w:val="0"/>
          <w:sz w:val="28"/>
          <w:szCs w:val="28"/>
        </w:rPr>
        <w:t>（2）组织各专业组对应急计划和实施程序的有效性、应急装备的可行性、应急人员的素质和反应速度等作出评价，并提出对预案的修改意见。</w:t>
      </w:r>
    </w:p>
    <w:p>
      <w:pPr>
        <w:pStyle w:val="6"/>
        <w:spacing w:before="0" w:beforeAutospacing="0" w:line="520" w:lineRule="exact"/>
        <w:ind w:left="0" w:firstLine="0"/>
      </w:pPr>
      <w:bookmarkStart w:id="120" w:name="_Toc20274"/>
      <w:bookmarkStart w:id="121" w:name="_Toc472856717"/>
      <w:r>
        <w:t>恢复生产</w:t>
      </w:r>
      <w:bookmarkEnd w:id="120"/>
      <w:bookmarkEnd w:id="121"/>
    </w:p>
    <w:p>
      <w:pPr>
        <w:pStyle w:val="95"/>
        <w:spacing w:line="520" w:lineRule="exact"/>
        <w:ind w:firstLine="560"/>
        <w:rPr>
          <w:b w:val="0"/>
          <w:bCs w:val="0"/>
          <w:color w:val="FF0000"/>
          <w:sz w:val="28"/>
          <w:szCs w:val="28"/>
        </w:rPr>
      </w:pPr>
      <w:r>
        <w:rPr>
          <w:b w:val="0"/>
          <w:bCs w:val="0"/>
          <w:sz w:val="28"/>
          <w:szCs w:val="28"/>
        </w:rPr>
        <w:t>在突发环境事件应急终止后，由各个部门组织对事故中损坏的生产设施或设备进行修复，并逐步恢复生产运行。</w:t>
      </w:r>
    </w:p>
    <w:p>
      <w:pPr>
        <w:pStyle w:val="74"/>
        <w:spacing w:before="312" w:after="312"/>
        <w:rPr>
          <w:b w:val="0"/>
          <w:bCs w:val="0"/>
          <w:color w:val="FF0000"/>
        </w:rPr>
        <w:sectPr>
          <w:pgSz w:w="11906" w:h="16838"/>
          <w:pgMar w:top="1440" w:right="1800" w:bottom="1440" w:left="1800" w:header="1077" w:footer="1191" w:gutter="0"/>
          <w:pgBorders>
            <w:top w:val="none" w:sz="0" w:space="0"/>
            <w:left w:val="none" w:sz="0" w:space="0"/>
            <w:bottom w:val="none" w:sz="0" w:space="0"/>
            <w:right w:val="none" w:sz="0" w:space="0"/>
          </w:pgBorders>
          <w:cols w:space="720" w:num="1"/>
          <w:docGrid w:type="lines" w:linePitch="312" w:charSpace="0"/>
        </w:sectPr>
      </w:pPr>
      <w:bookmarkStart w:id="122" w:name="_Toc472856718"/>
    </w:p>
    <w:p>
      <w:pPr>
        <w:pStyle w:val="5"/>
        <w:spacing w:beforeLines="0" w:afterLines="0" w:line="520" w:lineRule="exact"/>
        <w:ind w:left="0" w:firstLine="0"/>
      </w:pPr>
      <w:bookmarkStart w:id="123" w:name="_Toc3844"/>
      <w:r>
        <w:t>应急保障</w:t>
      </w:r>
      <w:bookmarkEnd w:id="122"/>
      <w:bookmarkEnd w:id="123"/>
      <w:bookmarkStart w:id="124" w:name="_Toc472856721"/>
    </w:p>
    <w:p>
      <w:pPr>
        <w:pStyle w:val="95"/>
        <w:spacing w:line="520" w:lineRule="exact"/>
        <w:ind w:firstLine="560"/>
        <w:rPr>
          <w:b w:val="0"/>
          <w:bCs w:val="0"/>
          <w:sz w:val="28"/>
          <w:szCs w:val="28"/>
        </w:rPr>
      </w:pPr>
      <w:r>
        <w:rPr>
          <w:rFonts w:hint="eastAsia"/>
          <w:b w:val="0"/>
          <w:bCs w:val="0"/>
          <w:sz w:val="28"/>
          <w:szCs w:val="28"/>
        </w:rPr>
        <w:t>应急抢险必须要有一定的资金、物资、人员、通讯顺畅等方方面面的保障。保障措施到位是抢险救援快速准确实现的基本条件。本企业的应急保障措施主要有：通讯与信息保障、资金保障、人力资源及技术保障和物资装备保障等四个方面。</w:t>
      </w:r>
    </w:p>
    <w:p>
      <w:pPr>
        <w:pStyle w:val="6"/>
        <w:spacing w:before="0" w:beforeAutospacing="0" w:line="520" w:lineRule="exact"/>
        <w:ind w:left="0" w:firstLine="0"/>
      </w:pPr>
      <w:bookmarkStart w:id="125" w:name="_Toc12243"/>
      <w:r>
        <w:rPr>
          <w:rFonts w:hint="eastAsia"/>
        </w:rPr>
        <w:t>通讯与信息保障</w:t>
      </w:r>
      <w:bookmarkEnd w:id="125"/>
    </w:p>
    <w:p>
      <w:pPr>
        <w:pStyle w:val="95"/>
        <w:spacing w:line="520" w:lineRule="exact"/>
        <w:ind w:firstLine="560"/>
        <w:rPr>
          <w:b w:val="0"/>
          <w:bCs w:val="0"/>
          <w:sz w:val="28"/>
          <w:szCs w:val="28"/>
        </w:rPr>
      </w:pPr>
      <w:r>
        <w:rPr>
          <w:rFonts w:hint="eastAsia"/>
          <w:b w:val="0"/>
          <w:bCs w:val="0"/>
          <w:sz w:val="28"/>
          <w:szCs w:val="28"/>
        </w:rPr>
        <w:t>信息的及时传递对应急抢险顺利进行是非常必要的，因此，企业必须做好通信与信息的保障工作。</w:t>
      </w:r>
    </w:p>
    <w:p>
      <w:pPr>
        <w:pStyle w:val="95"/>
        <w:spacing w:line="520" w:lineRule="exact"/>
        <w:ind w:firstLine="560"/>
        <w:rPr>
          <w:b w:val="0"/>
          <w:bCs w:val="0"/>
          <w:sz w:val="28"/>
          <w:szCs w:val="28"/>
        </w:rPr>
      </w:pPr>
      <w:r>
        <w:rPr>
          <w:rFonts w:hint="eastAsia"/>
          <w:b w:val="0"/>
          <w:bCs w:val="0"/>
          <w:sz w:val="28"/>
          <w:szCs w:val="28"/>
        </w:rPr>
        <w:t>通讯与信息保障主要由安全保卫队负责，要建立通信系统维护以及信息采集等制度，明确参与应急活动的所有部门通讯方式，分级联系方式，并提供备用方案和通讯录，配备必要的有线、无线通信器材（如手机、有线电话、对讲机等），确保本预案启动时各应急部门之间的联络畅通。</w:t>
      </w:r>
    </w:p>
    <w:p>
      <w:pPr>
        <w:pStyle w:val="8"/>
        <w:tabs>
          <w:tab w:val="clear" w:pos="425"/>
        </w:tabs>
        <w:spacing w:line="520" w:lineRule="exact"/>
        <w:ind w:left="0" w:firstLine="0"/>
        <w:rPr>
          <w:rFonts w:eastAsia="仿宋_GB2312"/>
          <w:sz w:val="28"/>
          <w:szCs w:val="28"/>
        </w:rPr>
      </w:pPr>
      <w:r>
        <w:rPr>
          <w:rFonts w:eastAsia="仿宋_GB2312"/>
          <w:sz w:val="28"/>
          <w:szCs w:val="28"/>
        </w:rPr>
        <w:t>环保监督管理机构</w:t>
      </w:r>
    </w:p>
    <w:p>
      <w:pPr>
        <w:pStyle w:val="95"/>
        <w:spacing w:line="520" w:lineRule="exact"/>
        <w:ind w:firstLine="560"/>
        <w:rPr>
          <w:b w:val="0"/>
          <w:bCs w:val="0"/>
          <w:sz w:val="28"/>
          <w:szCs w:val="28"/>
        </w:rPr>
      </w:pPr>
      <w:r>
        <w:rPr>
          <w:b w:val="0"/>
          <w:bCs w:val="0"/>
          <w:sz w:val="28"/>
          <w:szCs w:val="28"/>
        </w:rPr>
        <w:t>公司设有健全的环保管理机构，制定有完善的环保管理制度，注重人员培训，在危险化学品岗位的人员及特种作业人员都持证上岗。</w:t>
      </w:r>
    </w:p>
    <w:p>
      <w:pPr>
        <w:pStyle w:val="8"/>
        <w:tabs>
          <w:tab w:val="clear" w:pos="425"/>
        </w:tabs>
        <w:spacing w:line="520" w:lineRule="exact"/>
        <w:ind w:left="0" w:firstLine="0"/>
        <w:rPr>
          <w:rFonts w:eastAsia="仿宋_GB2312"/>
          <w:sz w:val="28"/>
          <w:szCs w:val="28"/>
        </w:rPr>
      </w:pPr>
      <w:r>
        <w:rPr>
          <w:rFonts w:eastAsia="仿宋_GB2312"/>
          <w:sz w:val="28"/>
          <w:szCs w:val="28"/>
        </w:rPr>
        <w:t>消防队伍</w:t>
      </w:r>
    </w:p>
    <w:p>
      <w:pPr>
        <w:pStyle w:val="95"/>
        <w:spacing w:line="520" w:lineRule="exact"/>
        <w:ind w:firstLine="560"/>
        <w:rPr>
          <w:sz w:val="28"/>
          <w:szCs w:val="28"/>
        </w:rPr>
      </w:pPr>
      <w:r>
        <w:rPr>
          <w:b w:val="0"/>
          <w:bCs w:val="0"/>
          <w:sz w:val="28"/>
          <w:szCs w:val="28"/>
        </w:rPr>
        <w:t>公司设有</w:t>
      </w:r>
      <w:r>
        <w:rPr>
          <w:rFonts w:hint="eastAsia"/>
          <w:b w:val="0"/>
          <w:bCs w:val="0"/>
          <w:sz w:val="28"/>
          <w:szCs w:val="28"/>
        </w:rPr>
        <w:t>应急处置队</w:t>
      </w:r>
      <w:r>
        <w:rPr>
          <w:b w:val="0"/>
          <w:bCs w:val="0"/>
          <w:sz w:val="28"/>
          <w:szCs w:val="28"/>
        </w:rPr>
        <w:t>，担负灭火、洗消和抢救伤员任务。</w:t>
      </w:r>
    </w:p>
    <w:p>
      <w:pPr>
        <w:pStyle w:val="6"/>
        <w:spacing w:before="0" w:beforeAutospacing="0" w:line="520" w:lineRule="exact"/>
        <w:ind w:left="0" w:firstLine="0"/>
      </w:pPr>
      <w:bookmarkStart w:id="126" w:name="_Toc3439"/>
      <w:r>
        <w:rPr>
          <w:rFonts w:hint="eastAsia"/>
        </w:rPr>
        <w:t>资金保障</w:t>
      </w:r>
      <w:bookmarkEnd w:id="126"/>
    </w:p>
    <w:p>
      <w:pPr>
        <w:pStyle w:val="95"/>
        <w:spacing w:line="520" w:lineRule="exact"/>
        <w:ind w:firstLine="560"/>
        <w:rPr>
          <w:b w:val="0"/>
          <w:bCs w:val="0"/>
          <w:sz w:val="28"/>
          <w:szCs w:val="28"/>
        </w:rPr>
      </w:pPr>
      <w:r>
        <w:rPr>
          <w:rFonts w:hint="eastAsia"/>
          <w:b w:val="0"/>
          <w:bCs w:val="0"/>
          <w:sz w:val="28"/>
          <w:szCs w:val="28"/>
        </w:rPr>
        <w:t>企业应做好事故预防预警及应急救援所必须的资金储备。主要由环境应急工作领导小组负责组织储备。应急经费按《财政应急保障预案》规定纳入每年的企业预算，装备量应严格按《财政应急保障预案》比例执行，确保应急预案启动之后，能够满足现场救援所需（包括物资以及受灾人员的妥善安置等）。</w:t>
      </w:r>
    </w:p>
    <w:p>
      <w:pPr>
        <w:pStyle w:val="6"/>
        <w:spacing w:before="0" w:beforeAutospacing="0" w:line="520" w:lineRule="exact"/>
        <w:ind w:left="0" w:firstLine="0"/>
      </w:pPr>
      <w:bookmarkStart w:id="127" w:name="_Toc19635"/>
      <w:r>
        <w:rPr>
          <w:rFonts w:hint="eastAsia"/>
        </w:rPr>
        <w:t>人力资源及技术保障</w:t>
      </w:r>
      <w:bookmarkEnd w:id="127"/>
    </w:p>
    <w:p>
      <w:pPr>
        <w:pStyle w:val="95"/>
        <w:spacing w:line="520" w:lineRule="exact"/>
        <w:ind w:firstLine="560"/>
        <w:rPr>
          <w:b w:val="0"/>
          <w:bCs w:val="0"/>
          <w:sz w:val="28"/>
          <w:szCs w:val="28"/>
        </w:rPr>
      </w:pPr>
      <w:r>
        <w:rPr>
          <w:rFonts w:hint="eastAsia"/>
          <w:b w:val="0"/>
          <w:bCs w:val="0"/>
          <w:sz w:val="28"/>
          <w:szCs w:val="28"/>
        </w:rPr>
        <w:t>公司成立突发环境事件应急指挥机构，并依据自身条件和可能发生的突发环境事件的类型建立应急救援专业队伍。应急救援工作小组包括：通讯联络组、抢险抢修组、医疗救护组、疏散及交通管制组、环保应急处理组、后勤服务组及义务消防组。配备先进技术装备，并明确各专业救援队伍的具体职责和任务，定期对各救援队伍进行专业培训、演练。</w:t>
      </w:r>
    </w:p>
    <w:p>
      <w:pPr>
        <w:pStyle w:val="95"/>
        <w:spacing w:line="520" w:lineRule="exact"/>
        <w:ind w:firstLine="560"/>
        <w:rPr>
          <w:b w:val="0"/>
          <w:bCs w:val="0"/>
          <w:sz w:val="28"/>
          <w:szCs w:val="28"/>
        </w:rPr>
      </w:pPr>
      <w:r>
        <w:rPr>
          <w:rFonts w:hint="eastAsia"/>
          <w:b w:val="0"/>
          <w:bCs w:val="0"/>
          <w:sz w:val="28"/>
          <w:szCs w:val="28"/>
        </w:rPr>
        <w:t>公司应急组织机构定期对各应急小组进行专业培训、演练，明确各小组具体职责和任务，以便在发生环境污染事故时，在指挥部的统一指挥下，快速、有序、有效地开展应急救援行动以尽快处置事故，使事故的危害降到最低。</w:t>
      </w:r>
    </w:p>
    <w:p>
      <w:pPr>
        <w:pStyle w:val="6"/>
        <w:spacing w:before="0" w:beforeAutospacing="0" w:line="520" w:lineRule="exact"/>
        <w:ind w:left="0" w:firstLine="0"/>
      </w:pPr>
      <w:bookmarkStart w:id="128" w:name="_Toc32272"/>
      <w:r>
        <w:rPr>
          <w:rFonts w:hint="eastAsia"/>
        </w:rPr>
        <w:t>物资装备保障</w:t>
      </w:r>
      <w:bookmarkEnd w:id="128"/>
    </w:p>
    <w:p>
      <w:pPr>
        <w:pStyle w:val="95"/>
        <w:spacing w:line="520" w:lineRule="exact"/>
        <w:ind w:firstLine="560"/>
        <w:rPr>
          <w:b w:val="0"/>
          <w:bCs w:val="0"/>
          <w:sz w:val="28"/>
          <w:szCs w:val="28"/>
        </w:rPr>
      </w:pPr>
      <w:r>
        <w:rPr>
          <w:rFonts w:hint="eastAsia"/>
          <w:b w:val="0"/>
          <w:bCs w:val="0"/>
          <w:sz w:val="28"/>
          <w:szCs w:val="28"/>
        </w:rPr>
        <w:t>公司应急物资储备必须保障一旦发生事故时能立即投入使用；专人负责移动车辆的日常维护检查；后勤处负责应急物品的储存保管，保障应急物资充裕；财务处负责对应急物资的补充的资金保障。</w:t>
      </w:r>
    </w:p>
    <w:p>
      <w:pPr>
        <w:pStyle w:val="95"/>
        <w:spacing w:line="520" w:lineRule="exact"/>
        <w:ind w:firstLine="560"/>
        <w:rPr>
          <w:b w:val="0"/>
          <w:bCs w:val="0"/>
          <w:sz w:val="28"/>
          <w:szCs w:val="28"/>
        </w:rPr>
      </w:pPr>
      <w:r>
        <w:rPr>
          <w:rFonts w:hint="eastAsia"/>
          <w:b w:val="0"/>
          <w:bCs w:val="0"/>
          <w:sz w:val="28"/>
          <w:szCs w:val="28"/>
        </w:rPr>
        <w:t>本公司的应急物资包括：</w:t>
      </w:r>
    </w:p>
    <w:p>
      <w:pPr>
        <w:pStyle w:val="95"/>
        <w:spacing w:line="520" w:lineRule="exact"/>
        <w:ind w:firstLine="560"/>
        <w:jc w:val="both"/>
        <w:rPr>
          <w:b w:val="0"/>
          <w:bCs w:val="0"/>
          <w:sz w:val="28"/>
          <w:szCs w:val="28"/>
        </w:rPr>
      </w:pPr>
      <w:r>
        <w:rPr>
          <w:rFonts w:hint="eastAsia"/>
          <w:b w:val="0"/>
          <w:bCs w:val="0"/>
          <w:sz w:val="28"/>
          <w:szCs w:val="28"/>
        </w:rPr>
        <w:t>安全防护物资和装备：防毒面具、安全帽、轻型防化服、空呼及防化服等等；应急救援物资和装备：室内消防栓、室外消防栓、手提式干粉灭火器、二氧化碳灭火器等；应急监测装备：可燃气体浓度报警器、可燃气体检测器（便携）、氧气检测器（便携）、氨气检测器（便携）等；医疗救护器械：医药箱、应急药品、苏生器、担架等。</w:t>
      </w:r>
    </w:p>
    <w:p>
      <w:pPr>
        <w:pStyle w:val="6"/>
        <w:spacing w:before="0" w:beforeAutospacing="0" w:line="520" w:lineRule="exact"/>
        <w:ind w:left="0" w:firstLine="0"/>
      </w:pPr>
      <w:bookmarkStart w:id="129" w:name="_Toc30249"/>
      <w:r>
        <w:rPr>
          <w:rFonts w:hint="eastAsia"/>
        </w:rPr>
        <w:t>其他保障</w:t>
      </w:r>
      <w:bookmarkEnd w:id="129"/>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已有救援装备保障</w:t>
      </w:r>
    </w:p>
    <w:p>
      <w:pPr>
        <w:pStyle w:val="95"/>
        <w:spacing w:line="520" w:lineRule="exact"/>
        <w:ind w:firstLine="560"/>
        <w:jc w:val="both"/>
        <w:rPr>
          <w:b w:val="0"/>
          <w:bCs w:val="0"/>
          <w:sz w:val="28"/>
          <w:szCs w:val="28"/>
        </w:rPr>
      </w:pPr>
      <w:r>
        <w:rPr>
          <w:rFonts w:hint="eastAsia"/>
          <w:b w:val="0"/>
          <w:bCs w:val="0"/>
          <w:sz w:val="28"/>
          <w:szCs w:val="28"/>
        </w:rPr>
        <w:t>（1）各部门根据自身应急救援业务需求，采取平战结合的原则，配备现场救援与抢险的装备和器材，建立相应的维护、保养和调用制度，保障各种相关灾害事件的抢险和救援。</w:t>
      </w:r>
    </w:p>
    <w:p>
      <w:pPr>
        <w:pStyle w:val="95"/>
        <w:spacing w:line="520" w:lineRule="exact"/>
        <w:ind w:firstLine="560"/>
        <w:jc w:val="both"/>
        <w:rPr>
          <w:b w:val="0"/>
          <w:bCs w:val="0"/>
          <w:sz w:val="28"/>
          <w:szCs w:val="28"/>
        </w:rPr>
      </w:pPr>
      <w:r>
        <w:rPr>
          <w:rFonts w:hint="eastAsia"/>
          <w:b w:val="0"/>
          <w:bCs w:val="0"/>
          <w:sz w:val="28"/>
          <w:szCs w:val="28"/>
        </w:rPr>
        <w:t>（2）公司应急救援办公室应了解并建立与友邻单位、社会团体作好大型现场救援和工程抢险装备使用的协商，必要时应积极寻求友邻单位、社会团体的帮助。</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交通运输保障</w:t>
      </w:r>
    </w:p>
    <w:p>
      <w:pPr>
        <w:pStyle w:val="95"/>
        <w:spacing w:line="520" w:lineRule="exact"/>
        <w:ind w:firstLine="560"/>
        <w:jc w:val="both"/>
        <w:rPr>
          <w:b w:val="0"/>
          <w:bCs w:val="0"/>
          <w:sz w:val="28"/>
          <w:szCs w:val="28"/>
        </w:rPr>
      </w:pPr>
      <w:r>
        <w:rPr>
          <w:rFonts w:hint="eastAsia"/>
          <w:b w:val="0"/>
          <w:bCs w:val="0"/>
          <w:sz w:val="28"/>
          <w:szCs w:val="28"/>
        </w:rPr>
        <w:t>（1）为保证应急抢险工作的顺利实施，公司应随时配备足够数量的运输车辆、工程车辆等交通工具。建议企业增加一辆车专门应对环境突发事件。</w:t>
      </w:r>
    </w:p>
    <w:p>
      <w:pPr>
        <w:pStyle w:val="95"/>
        <w:spacing w:line="520" w:lineRule="exact"/>
        <w:ind w:firstLine="560"/>
        <w:jc w:val="both"/>
        <w:rPr>
          <w:b w:val="0"/>
          <w:bCs w:val="0"/>
          <w:sz w:val="28"/>
          <w:szCs w:val="28"/>
        </w:rPr>
      </w:pPr>
      <w:r>
        <w:rPr>
          <w:rFonts w:hint="eastAsia"/>
          <w:b w:val="0"/>
          <w:bCs w:val="0"/>
          <w:sz w:val="28"/>
          <w:szCs w:val="28"/>
        </w:rPr>
        <w:t>（2）安全保卫组负责应急抢险工作时的道路畅通，以保证应急物资能迅速到达事故现场，伤病员须外送时能及时送往指定医院。</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医疗保障</w:t>
      </w:r>
    </w:p>
    <w:p>
      <w:pPr>
        <w:spacing w:line="520" w:lineRule="exact"/>
        <w:ind w:firstLine="560" w:firstLineChars="200"/>
        <w:rPr>
          <w:rFonts w:eastAsia="仿宋_GB2312"/>
          <w:bCs/>
          <w:sz w:val="28"/>
          <w:szCs w:val="28"/>
        </w:rPr>
      </w:pPr>
      <w:r>
        <w:rPr>
          <w:rFonts w:hint="eastAsia" w:eastAsia="仿宋_GB2312"/>
          <w:bCs/>
          <w:sz w:val="28"/>
          <w:szCs w:val="28"/>
        </w:rPr>
        <w:t>湖北航欧新材料科技有限公司</w:t>
      </w:r>
      <w:r>
        <w:rPr>
          <w:rFonts w:eastAsia="仿宋_GB2312"/>
          <w:bCs/>
          <w:sz w:val="28"/>
          <w:szCs w:val="28"/>
        </w:rPr>
        <w:t>医疗主要依托</w:t>
      </w:r>
      <w:r>
        <w:rPr>
          <w:rFonts w:eastAsia="仿宋"/>
          <w:bCs/>
          <w:sz w:val="28"/>
          <w:szCs w:val="28"/>
        </w:rPr>
        <w:t>远安县人民医院</w:t>
      </w:r>
      <w:r>
        <w:rPr>
          <w:rFonts w:eastAsia="仿宋_GB2312"/>
          <w:bCs/>
          <w:sz w:val="28"/>
          <w:szCs w:val="28"/>
        </w:rPr>
        <w:t>。</w:t>
      </w:r>
    </w:p>
    <w:p>
      <w:pPr>
        <w:spacing w:line="520" w:lineRule="exact"/>
        <w:ind w:firstLine="560" w:firstLineChars="200"/>
        <w:rPr>
          <w:rFonts w:eastAsia="仿宋"/>
          <w:bCs/>
          <w:sz w:val="28"/>
          <w:szCs w:val="28"/>
        </w:rPr>
      </w:pPr>
      <w:r>
        <w:rPr>
          <w:rFonts w:eastAsia="仿宋"/>
          <w:bCs/>
          <w:sz w:val="28"/>
          <w:szCs w:val="28"/>
        </w:rPr>
        <w:t>远安县人民医院始建于1950年，1996年5月被评为国家二级甲等医院，2020年7月整体搬迁至鸣凤镇凤仪路169号，是卫生部授予的一所集医疗、教学、科研、预防保健及社区服务为一体的二级甲等综合医院、国际紧急救援中心网络医院，是全县120急救中心。</w:t>
      </w:r>
    </w:p>
    <w:p>
      <w:pPr>
        <w:spacing w:line="520" w:lineRule="exact"/>
        <w:ind w:firstLine="560" w:firstLineChars="200"/>
        <w:rPr>
          <w:rFonts w:eastAsia="仿宋"/>
          <w:bCs/>
          <w:sz w:val="28"/>
          <w:szCs w:val="28"/>
        </w:rPr>
      </w:pPr>
      <w:r>
        <w:rPr>
          <w:rFonts w:eastAsia="仿宋"/>
          <w:bCs/>
          <w:sz w:val="28"/>
          <w:szCs w:val="28"/>
        </w:rPr>
        <w:t>医院占地面积70103</w:t>
      </w:r>
      <w:r>
        <w:rPr>
          <w:rFonts w:hint="eastAsia" w:eastAsia="仿宋"/>
          <w:bCs/>
          <w:sz w:val="28"/>
          <w:szCs w:val="28"/>
        </w:rPr>
        <w:t xml:space="preserve"> m</w:t>
      </w:r>
      <w:r>
        <w:rPr>
          <w:rFonts w:hint="eastAsia" w:eastAsia="仿宋"/>
          <w:bCs/>
          <w:sz w:val="28"/>
          <w:szCs w:val="28"/>
          <w:vertAlign w:val="superscript"/>
        </w:rPr>
        <w:t>2</w:t>
      </w:r>
      <w:r>
        <w:rPr>
          <w:rFonts w:eastAsia="仿宋"/>
          <w:bCs/>
          <w:sz w:val="28"/>
          <w:szCs w:val="28"/>
        </w:rPr>
        <w:t>，建筑面积53334.69</w:t>
      </w:r>
      <w:r>
        <w:rPr>
          <w:rFonts w:hint="eastAsia" w:eastAsia="仿宋"/>
          <w:bCs/>
          <w:sz w:val="28"/>
          <w:szCs w:val="28"/>
        </w:rPr>
        <w:t xml:space="preserve"> m</w:t>
      </w:r>
      <w:r>
        <w:rPr>
          <w:rFonts w:hint="eastAsia" w:eastAsia="仿宋"/>
          <w:bCs/>
          <w:sz w:val="28"/>
          <w:szCs w:val="28"/>
          <w:vertAlign w:val="superscript"/>
        </w:rPr>
        <w:t>2</w:t>
      </w:r>
      <w:r>
        <w:rPr>
          <w:rFonts w:eastAsia="仿宋"/>
          <w:bCs/>
          <w:sz w:val="28"/>
          <w:szCs w:val="28"/>
        </w:rPr>
        <w:t>，编制床位500张。医院现有职工506人,其中卫生专技人员465人，正高职称4人、副高级职称53人、中级职称147人，研究生学历4人。</w:t>
      </w:r>
    </w:p>
    <w:p>
      <w:pPr>
        <w:spacing w:line="520" w:lineRule="exact"/>
        <w:ind w:firstLine="560" w:firstLineChars="200"/>
        <w:rPr>
          <w:rFonts w:eastAsia="仿宋"/>
          <w:bCs/>
          <w:sz w:val="28"/>
          <w:szCs w:val="28"/>
        </w:rPr>
      </w:pPr>
      <w:r>
        <w:rPr>
          <w:rFonts w:eastAsia="仿宋"/>
          <w:bCs/>
          <w:sz w:val="28"/>
          <w:szCs w:val="28"/>
        </w:rPr>
        <w:t>拥有德国西门子1.5T超导核磁共振成像设备、GE64排螺旋CT数字胃肠机、超高清腹腔镜、全自动化学免疫分析仪等万元以上医疗设备435台套。</w:t>
      </w:r>
    </w:p>
    <w:p>
      <w:pPr>
        <w:spacing w:line="520" w:lineRule="exact"/>
        <w:ind w:firstLine="560" w:firstLineChars="200"/>
        <w:rPr>
          <w:rFonts w:eastAsia="仿宋"/>
          <w:bCs/>
          <w:sz w:val="28"/>
          <w:szCs w:val="28"/>
        </w:rPr>
      </w:pPr>
      <w:r>
        <w:rPr>
          <w:rFonts w:eastAsia="仿宋"/>
          <w:bCs/>
          <w:sz w:val="28"/>
          <w:szCs w:val="28"/>
        </w:rPr>
        <w:t>医院设19个行政职能部门，骨科、神经外科、泌尿外科、普通外科、胸外科、心血管内科、呼吸内科、神经内科、肾内科、血液透析、妇产科、儿科、重症医学科等19个临床科室，放射影像、超声影像、医学检验、病理等 6个医技科室。</w:t>
      </w:r>
    </w:p>
    <w:p>
      <w:pPr>
        <w:spacing w:line="520" w:lineRule="exact"/>
        <w:ind w:firstLine="560" w:firstLineChars="200"/>
        <w:rPr>
          <w:rFonts w:eastAsia="仿宋"/>
          <w:bCs/>
          <w:color w:val="FF0000"/>
          <w:sz w:val="28"/>
          <w:szCs w:val="28"/>
        </w:rPr>
      </w:pPr>
      <w:r>
        <w:rPr>
          <w:rFonts w:eastAsia="仿宋"/>
          <w:bCs/>
          <w:sz w:val="28"/>
          <w:szCs w:val="28"/>
        </w:rPr>
        <w:t>医院牢记服务宗旨，坚持“严谨为医、忠诚为民、修身兴院、治病济人”院训，先后荣获“国家模范职工小家”、“省级模范职工小家”、“湖北省法治示范建设医院”、“湖北省民族团结进步创建示范单位”、“全市先进基层党组织”、“市级文明单位”、“全市五一劳动奖状”、“全市平安医院创建先进单位”。</w:t>
      </w:r>
    </w:p>
    <w:p>
      <w:pPr>
        <w:pStyle w:val="8"/>
        <w:tabs>
          <w:tab w:val="clear" w:pos="425"/>
        </w:tabs>
        <w:spacing w:line="520" w:lineRule="exact"/>
        <w:ind w:left="0" w:firstLine="0"/>
        <w:rPr>
          <w:rFonts w:hAnsi="仿宋" w:eastAsia="仿宋"/>
          <w:sz w:val="28"/>
          <w:szCs w:val="28"/>
        </w:rPr>
      </w:pPr>
      <w:bookmarkStart w:id="130" w:name="_Toc4134"/>
      <w:bookmarkStart w:id="131" w:name="_Toc7871"/>
      <w:r>
        <w:rPr>
          <w:rFonts w:hint="eastAsia" w:hAnsi="仿宋" w:eastAsia="仿宋"/>
          <w:sz w:val="28"/>
          <w:szCs w:val="28"/>
        </w:rPr>
        <w:t>其他互助单位</w:t>
      </w:r>
      <w:bookmarkEnd w:id="130"/>
      <w:bookmarkEnd w:id="131"/>
    </w:p>
    <w:p>
      <w:pPr>
        <w:spacing w:line="520" w:lineRule="exact"/>
        <w:ind w:firstLine="560" w:firstLineChars="200"/>
        <w:rPr>
          <w:rFonts w:eastAsia="仿宋"/>
          <w:bCs/>
          <w:sz w:val="28"/>
          <w:szCs w:val="28"/>
        </w:rPr>
      </w:pPr>
      <w:bookmarkStart w:id="132" w:name="_Toc5446"/>
      <w:bookmarkStart w:id="133" w:name="_Toc2785"/>
      <w:r>
        <w:rPr>
          <w:rFonts w:eastAsia="仿宋"/>
          <w:bCs/>
          <w:sz w:val="28"/>
          <w:szCs w:val="28"/>
        </w:rPr>
        <w:t>在事故救援过程中，若事故范围和程度进一步扩大，公司的救援队伍或应急设备不配套时，应及时与</w:t>
      </w:r>
      <w:r>
        <w:rPr>
          <w:rFonts w:hint="eastAsia" w:eastAsia="仿宋"/>
          <w:bCs/>
          <w:sz w:val="28"/>
          <w:szCs w:val="28"/>
        </w:rPr>
        <w:t>县域</w:t>
      </w:r>
      <w:r>
        <w:rPr>
          <w:rFonts w:eastAsia="仿宋"/>
          <w:bCs/>
          <w:sz w:val="28"/>
          <w:szCs w:val="28"/>
        </w:rPr>
        <w:t>相关各部门联系，</w:t>
      </w:r>
      <w:r>
        <w:rPr>
          <w:rFonts w:hint="eastAsia" w:eastAsia="仿宋"/>
          <w:bCs/>
          <w:sz w:val="28"/>
          <w:szCs w:val="28"/>
        </w:rPr>
        <w:t>请求其</w:t>
      </w:r>
      <w:r>
        <w:rPr>
          <w:rFonts w:eastAsia="仿宋"/>
          <w:bCs/>
          <w:sz w:val="28"/>
          <w:szCs w:val="28"/>
        </w:rPr>
        <w:t>调动急资源予以支援，如：宜昌市生态环境局</w:t>
      </w:r>
      <w:r>
        <w:rPr>
          <w:rFonts w:hint="eastAsia" w:eastAsia="仿宋"/>
          <w:bCs/>
          <w:sz w:val="28"/>
          <w:szCs w:val="28"/>
        </w:rPr>
        <w:t>远安县</w:t>
      </w:r>
      <w:r>
        <w:rPr>
          <w:rFonts w:eastAsia="仿宋"/>
          <w:bCs/>
          <w:sz w:val="28"/>
          <w:szCs w:val="28"/>
        </w:rPr>
        <w:t>分局、</w:t>
      </w:r>
      <w:r>
        <w:rPr>
          <w:rFonts w:hint="eastAsia" w:eastAsia="仿宋"/>
          <w:bCs/>
          <w:sz w:val="28"/>
          <w:szCs w:val="28"/>
        </w:rPr>
        <w:t>远安县</w:t>
      </w:r>
      <w:r>
        <w:rPr>
          <w:rFonts w:eastAsia="仿宋"/>
          <w:bCs/>
          <w:sz w:val="28"/>
          <w:szCs w:val="28"/>
        </w:rPr>
        <w:t>公安局、宜昌市</w:t>
      </w:r>
      <w:r>
        <w:rPr>
          <w:rFonts w:hint="eastAsia" w:eastAsia="仿宋"/>
          <w:bCs/>
          <w:sz w:val="28"/>
          <w:szCs w:val="28"/>
        </w:rPr>
        <w:t>远安县</w:t>
      </w:r>
      <w:r>
        <w:rPr>
          <w:rFonts w:eastAsia="仿宋"/>
          <w:bCs/>
          <w:sz w:val="28"/>
          <w:szCs w:val="28"/>
        </w:rPr>
        <w:t>消防救援大队、</w:t>
      </w:r>
      <w:r>
        <w:rPr>
          <w:rFonts w:hint="eastAsia" w:eastAsia="仿宋"/>
          <w:bCs/>
          <w:sz w:val="28"/>
          <w:szCs w:val="28"/>
        </w:rPr>
        <w:t>远安县</w:t>
      </w:r>
      <w:r>
        <w:rPr>
          <w:rFonts w:eastAsia="仿宋"/>
          <w:bCs/>
          <w:sz w:val="28"/>
          <w:szCs w:val="28"/>
        </w:rPr>
        <w:t>应急管理局、宜昌市技术监督局等单位。</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政府协调</w:t>
      </w:r>
      <w:bookmarkEnd w:id="132"/>
      <w:bookmarkEnd w:id="133"/>
    </w:p>
    <w:p>
      <w:pPr>
        <w:spacing w:line="520" w:lineRule="exact"/>
        <w:ind w:firstLine="560" w:firstLineChars="200"/>
        <w:rPr>
          <w:rFonts w:hAnsi="仿宋_GB2312" w:eastAsia="仿宋_GB2312"/>
          <w:bCs/>
          <w:sz w:val="28"/>
          <w:szCs w:val="28"/>
        </w:rPr>
      </w:pPr>
      <w:r>
        <w:rPr>
          <w:rFonts w:hint="eastAsia" w:hAnsi="仿宋_GB2312" w:eastAsia="仿宋_GB2312"/>
          <w:bCs/>
          <w:sz w:val="28"/>
          <w:szCs w:val="28"/>
        </w:rPr>
        <w:t>若发生重大污染事故，公司难以控制时，应根据污染事故危险等级，分级上报政府部门，请求应急救援工作。当启动上一级应急预案后，公司应急救援指挥部必须无条件接受上一级应急救援机构的调度和指挥，积极投入到统一的救援行动中。</w:t>
      </w:r>
    </w:p>
    <w:p>
      <w:pPr>
        <w:pStyle w:val="8"/>
        <w:tabs>
          <w:tab w:val="clear" w:pos="425"/>
        </w:tabs>
        <w:spacing w:line="520" w:lineRule="exact"/>
        <w:ind w:left="0" w:firstLine="0"/>
        <w:rPr>
          <w:rFonts w:hAnsi="仿宋" w:eastAsia="仿宋"/>
          <w:sz w:val="28"/>
          <w:szCs w:val="28"/>
        </w:rPr>
      </w:pPr>
      <w:bookmarkStart w:id="134" w:name="_Toc7148"/>
      <w:bookmarkStart w:id="135" w:name="_Toc28123"/>
      <w:r>
        <w:rPr>
          <w:rFonts w:hint="eastAsia" w:hAnsi="仿宋" w:eastAsia="仿宋"/>
          <w:sz w:val="28"/>
          <w:szCs w:val="28"/>
        </w:rPr>
        <w:t>应急救援信息咨询</w:t>
      </w:r>
      <w:bookmarkEnd w:id="134"/>
      <w:bookmarkEnd w:id="135"/>
    </w:p>
    <w:p>
      <w:pPr>
        <w:spacing w:line="520" w:lineRule="exact"/>
        <w:ind w:firstLine="560" w:firstLineChars="200"/>
        <w:rPr>
          <w:rFonts w:hAnsi="仿宋_GB2312" w:eastAsia="仿宋_GB2312"/>
          <w:bCs/>
          <w:sz w:val="28"/>
          <w:szCs w:val="28"/>
        </w:rPr>
      </w:pPr>
      <w:r>
        <w:rPr>
          <w:rFonts w:hint="eastAsia" w:hAnsi="仿宋_GB2312" w:eastAsia="仿宋_GB2312"/>
          <w:bCs/>
          <w:sz w:val="28"/>
          <w:szCs w:val="28"/>
        </w:rPr>
        <w:t>向上级部门及各相关单位就应急救援信息方面进行咨询，做好事故应急救援信息准备。</w:t>
      </w:r>
    </w:p>
    <w:p>
      <w:pPr>
        <w:pStyle w:val="8"/>
        <w:tabs>
          <w:tab w:val="clear" w:pos="425"/>
        </w:tabs>
        <w:spacing w:line="520" w:lineRule="exact"/>
        <w:ind w:left="0" w:firstLine="0"/>
        <w:rPr>
          <w:rFonts w:hAnsi="仿宋" w:eastAsia="仿宋"/>
          <w:sz w:val="28"/>
          <w:szCs w:val="28"/>
        </w:rPr>
      </w:pPr>
      <w:bookmarkStart w:id="136" w:name="_Toc4421"/>
      <w:bookmarkStart w:id="137" w:name="_Toc19729"/>
      <w:r>
        <w:rPr>
          <w:rFonts w:hint="eastAsia" w:hAnsi="仿宋" w:eastAsia="仿宋"/>
          <w:sz w:val="28"/>
          <w:szCs w:val="28"/>
        </w:rPr>
        <w:t>专家咨询</w:t>
      </w:r>
      <w:bookmarkEnd w:id="136"/>
      <w:bookmarkEnd w:id="137"/>
    </w:p>
    <w:p>
      <w:pPr>
        <w:spacing w:line="520" w:lineRule="exact"/>
        <w:ind w:firstLine="560" w:firstLineChars="200"/>
        <w:rPr>
          <w:sz w:val="28"/>
          <w:szCs w:val="28"/>
        </w:rPr>
      </w:pPr>
      <w:r>
        <w:rPr>
          <w:rFonts w:hint="eastAsia" w:hAnsi="仿宋_GB2312" w:eastAsia="仿宋_GB2312"/>
          <w:bCs/>
          <w:sz w:val="28"/>
          <w:szCs w:val="28"/>
        </w:rPr>
        <w:t>向专业应急救援机构和市区各级政府、环保部门的专家库聘请不同事故应急救援专家，结合公司技术专家，组成技术专家组，协调方案，为应急工作提供技术支持。</w:t>
      </w:r>
    </w:p>
    <w:p>
      <w:pPr>
        <w:pStyle w:val="8"/>
        <w:tabs>
          <w:tab w:val="clear" w:pos="425"/>
        </w:tabs>
        <w:spacing w:line="520" w:lineRule="exact"/>
        <w:ind w:left="0" w:firstLine="0"/>
        <w:rPr>
          <w:rFonts w:hAnsi="仿宋" w:eastAsia="仿宋"/>
          <w:sz w:val="28"/>
          <w:szCs w:val="28"/>
        </w:rPr>
      </w:pPr>
      <w:r>
        <w:rPr>
          <w:rFonts w:hint="eastAsia" w:hAnsi="仿宋" w:eastAsia="仿宋"/>
          <w:sz w:val="28"/>
          <w:szCs w:val="28"/>
        </w:rPr>
        <w:t>治安保障</w:t>
      </w:r>
    </w:p>
    <w:p>
      <w:pPr>
        <w:pStyle w:val="95"/>
        <w:spacing w:line="520" w:lineRule="exact"/>
        <w:ind w:firstLine="560"/>
        <w:jc w:val="both"/>
        <w:rPr>
          <w:b w:val="0"/>
          <w:bCs w:val="0"/>
          <w:sz w:val="28"/>
          <w:szCs w:val="28"/>
        </w:rPr>
      </w:pPr>
      <w:r>
        <w:rPr>
          <w:rFonts w:hint="eastAsia"/>
          <w:b w:val="0"/>
          <w:bCs w:val="0"/>
          <w:sz w:val="28"/>
          <w:szCs w:val="28"/>
        </w:rPr>
        <w:t>（1）事故发生后，由安全保卫负责治安保障，立即在事故现场周围设立警戒区和警戒哨，做好现场控制、交通管制、疏散救助群众、维护公共秩序等工作。</w:t>
      </w:r>
    </w:p>
    <w:p>
      <w:pPr>
        <w:pStyle w:val="95"/>
        <w:spacing w:line="520" w:lineRule="exact"/>
        <w:ind w:firstLine="560"/>
        <w:jc w:val="both"/>
        <w:rPr>
          <w:b w:val="0"/>
          <w:bCs w:val="0"/>
          <w:sz w:val="28"/>
          <w:szCs w:val="28"/>
        </w:rPr>
      </w:pPr>
      <w:r>
        <w:rPr>
          <w:rFonts w:hint="eastAsia"/>
          <w:b w:val="0"/>
          <w:bCs w:val="0"/>
          <w:sz w:val="28"/>
          <w:szCs w:val="28"/>
        </w:rPr>
        <w:t>（2）由安全保卫组负责，承担对重要场所、目标和救灾设施的警卫。</w:t>
      </w:r>
    </w:p>
    <w:p>
      <w:pPr>
        <w:pStyle w:val="74"/>
        <w:spacing w:before="312" w:after="312"/>
        <w:rPr>
          <w:b w:val="0"/>
          <w:bCs w:val="0"/>
        </w:rPr>
        <w:sectPr>
          <w:pgSz w:w="11906" w:h="16838"/>
          <w:pgMar w:top="1440" w:right="1800" w:bottom="1440" w:left="1800" w:header="1077" w:footer="1191" w:gutter="0"/>
          <w:pgBorders>
            <w:top w:val="none" w:sz="0" w:space="0"/>
            <w:left w:val="none" w:sz="0" w:space="0"/>
            <w:bottom w:val="none" w:sz="0" w:space="0"/>
            <w:right w:val="none" w:sz="0" w:space="0"/>
          </w:pgBorders>
          <w:cols w:space="720" w:num="1"/>
          <w:docGrid w:type="lines" w:linePitch="312" w:charSpace="0"/>
        </w:sectPr>
      </w:pPr>
    </w:p>
    <w:p>
      <w:pPr>
        <w:pStyle w:val="5"/>
        <w:spacing w:beforeLines="0" w:afterLines="0" w:line="520" w:lineRule="exact"/>
        <w:ind w:left="0" w:firstLine="0"/>
      </w:pPr>
      <w:bookmarkStart w:id="138" w:name="_Toc9744"/>
      <w:r>
        <w:t>应急预案管理</w:t>
      </w:r>
      <w:bookmarkEnd w:id="124"/>
      <w:bookmarkEnd w:id="138"/>
      <w:bookmarkStart w:id="139" w:name="_Toc472856722"/>
    </w:p>
    <w:p>
      <w:pPr>
        <w:pStyle w:val="95"/>
        <w:spacing w:line="520" w:lineRule="exact"/>
        <w:ind w:firstLine="560"/>
        <w:jc w:val="both"/>
        <w:rPr>
          <w:b w:val="0"/>
          <w:bCs w:val="0"/>
          <w:sz w:val="28"/>
          <w:szCs w:val="28"/>
        </w:rPr>
      </w:pPr>
      <w:r>
        <w:rPr>
          <w:rFonts w:hint="eastAsia"/>
          <w:b w:val="0"/>
          <w:bCs w:val="0"/>
          <w:sz w:val="28"/>
          <w:szCs w:val="28"/>
        </w:rPr>
        <w:t>为提高应急人员的技术水平与救援队伍的整体能力，以便在事故救援行动中达到快速、有序、有效，定期开展应急救援培训。意在锻炼和提高队伍在遇到突发环境事件情况下能够快速抢险堵源、及时营救伤员、正确指导和帮助群众防护或撤离、有效消除危害后果、开展现场急救和伤员转送等应急救援技能和提高应急反应综合素质，有效降低事故危害，减少事故损失。</w:t>
      </w:r>
    </w:p>
    <w:p>
      <w:pPr>
        <w:pStyle w:val="95"/>
        <w:spacing w:line="520" w:lineRule="exact"/>
        <w:ind w:firstLine="560"/>
        <w:jc w:val="both"/>
        <w:rPr>
          <w:b w:val="0"/>
          <w:bCs w:val="0"/>
          <w:sz w:val="28"/>
          <w:szCs w:val="28"/>
        </w:rPr>
      </w:pPr>
      <w:r>
        <w:rPr>
          <w:rFonts w:hint="eastAsia"/>
          <w:b w:val="0"/>
          <w:bCs w:val="0"/>
          <w:sz w:val="28"/>
          <w:szCs w:val="28"/>
        </w:rPr>
        <w:t>公司办公室会同安环科、应急中心负责组织、实施应急预案的培训工作。根据预案实施情况制订培训计划，采取集中授课与现场演练操作相结合、知识考核与实际能力考核相结合的形式，对应急人员、员工与公众进行法律法规、应急知识和技能的宣传与培训。培训应做好记录和培训评估。</w:t>
      </w:r>
    </w:p>
    <w:p>
      <w:pPr>
        <w:pStyle w:val="6"/>
        <w:spacing w:before="0" w:beforeAutospacing="0" w:line="520" w:lineRule="exact"/>
        <w:ind w:left="0" w:firstLine="0"/>
      </w:pPr>
      <w:bookmarkStart w:id="140" w:name="_Toc24283"/>
      <w:r>
        <w:t>预案培训</w:t>
      </w:r>
      <w:bookmarkEnd w:id="140"/>
    </w:p>
    <w:p>
      <w:pPr>
        <w:pStyle w:val="8"/>
        <w:spacing w:line="520" w:lineRule="exact"/>
        <w:ind w:left="0" w:firstLine="0"/>
        <w:rPr>
          <w:rFonts w:eastAsia="仿宋_GB2312"/>
          <w:sz w:val="28"/>
          <w:szCs w:val="28"/>
        </w:rPr>
      </w:pPr>
      <w:r>
        <w:rPr>
          <w:rFonts w:eastAsia="仿宋_GB2312"/>
          <w:sz w:val="28"/>
          <w:szCs w:val="28"/>
        </w:rPr>
        <w:t>原则和范围</w:t>
      </w:r>
    </w:p>
    <w:p>
      <w:pPr>
        <w:pStyle w:val="95"/>
        <w:spacing w:line="520" w:lineRule="exact"/>
        <w:ind w:firstLine="560"/>
        <w:jc w:val="both"/>
        <w:rPr>
          <w:b w:val="0"/>
          <w:bCs w:val="0"/>
          <w:sz w:val="28"/>
          <w:szCs w:val="28"/>
        </w:rPr>
      </w:pPr>
      <w:r>
        <w:rPr>
          <w:b w:val="0"/>
          <w:bCs w:val="0"/>
          <w:sz w:val="28"/>
          <w:szCs w:val="28"/>
        </w:rPr>
        <w:t>为提高应急人员的技术水平与救援队伍的整体能力，在事故中快速、有序、有效的开展救援行动，应定期开展应急救援培训，同时也锻炼和提高队伍在遇到突发环境事件情况下能够快速抢险堵源、及时营救伤员、正确指导和帮助群众防护或撤离、有效消除危害后果、开展现场急救和伤员转送等应急救援技能，并提高应急反应综合素质，有效降低事故危害，减少事故损失。</w:t>
      </w:r>
    </w:p>
    <w:p>
      <w:pPr>
        <w:pStyle w:val="95"/>
        <w:spacing w:line="520" w:lineRule="exact"/>
        <w:ind w:firstLine="560"/>
        <w:jc w:val="both"/>
        <w:rPr>
          <w:b w:val="0"/>
          <w:bCs w:val="0"/>
          <w:sz w:val="28"/>
          <w:szCs w:val="28"/>
        </w:rPr>
      </w:pPr>
      <w:r>
        <w:rPr>
          <w:b w:val="0"/>
          <w:bCs w:val="0"/>
          <w:sz w:val="28"/>
          <w:szCs w:val="28"/>
        </w:rPr>
        <w:t>公司</w:t>
      </w:r>
      <w:r>
        <w:rPr>
          <w:rFonts w:hint="eastAsia"/>
          <w:b w:val="0"/>
          <w:bCs w:val="0"/>
          <w:sz w:val="28"/>
          <w:szCs w:val="28"/>
        </w:rPr>
        <w:t>总经理</w:t>
      </w:r>
      <w:r>
        <w:rPr>
          <w:b w:val="0"/>
          <w:bCs w:val="0"/>
          <w:sz w:val="28"/>
          <w:szCs w:val="28"/>
        </w:rPr>
        <w:t>负责组织、实施应急预案培训工作。根据预案实施情况制定培训计划，采取多种形式对应急人员、员工与公众进行法律法规、应急知识和技能的宣传和培训，培训应做好记录和培训评估。</w:t>
      </w:r>
    </w:p>
    <w:p>
      <w:pPr>
        <w:pStyle w:val="8"/>
        <w:spacing w:line="520" w:lineRule="exact"/>
        <w:ind w:left="0" w:firstLine="0"/>
        <w:rPr>
          <w:rFonts w:eastAsia="仿宋_GB2312"/>
          <w:sz w:val="28"/>
          <w:szCs w:val="28"/>
        </w:rPr>
      </w:pPr>
      <w:r>
        <w:rPr>
          <w:rFonts w:eastAsia="仿宋_GB2312"/>
          <w:sz w:val="28"/>
          <w:szCs w:val="28"/>
        </w:rPr>
        <w:t>信息宣传</w:t>
      </w:r>
    </w:p>
    <w:p>
      <w:pPr>
        <w:pStyle w:val="95"/>
        <w:spacing w:line="520" w:lineRule="exact"/>
        <w:ind w:firstLine="560"/>
        <w:jc w:val="both"/>
        <w:rPr>
          <w:b w:val="0"/>
          <w:bCs w:val="0"/>
          <w:sz w:val="28"/>
          <w:szCs w:val="28"/>
        </w:rPr>
      </w:pPr>
      <w:r>
        <w:rPr>
          <w:b w:val="0"/>
          <w:bCs w:val="0"/>
          <w:sz w:val="28"/>
          <w:szCs w:val="28"/>
        </w:rPr>
        <w:t>公司应按照突发环境事件的特性，采取适当方式向周边群众宣讲可能造成的危害，广泛宣传相关法律法规、应急防护知识等。</w:t>
      </w:r>
    </w:p>
    <w:p>
      <w:pPr>
        <w:pStyle w:val="8"/>
        <w:spacing w:line="520" w:lineRule="exact"/>
        <w:ind w:left="0" w:firstLine="0"/>
        <w:rPr>
          <w:rFonts w:eastAsia="仿宋_GB2312"/>
          <w:sz w:val="28"/>
          <w:szCs w:val="28"/>
        </w:rPr>
      </w:pPr>
      <w:r>
        <w:rPr>
          <w:rFonts w:hint="eastAsia" w:eastAsia="仿宋_GB2312"/>
          <w:sz w:val="28"/>
          <w:szCs w:val="28"/>
        </w:rPr>
        <w:t>培训</w:t>
      </w:r>
    </w:p>
    <w:p>
      <w:pPr>
        <w:pStyle w:val="95"/>
        <w:spacing w:line="520" w:lineRule="exact"/>
        <w:ind w:firstLine="560"/>
        <w:jc w:val="both"/>
        <w:rPr>
          <w:b w:val="0"/>
          <w:bCs w:val="0"/>
          <w:sz w:val="28"/>
          <w:szCs w:val="28"/>
        </w:rPr>
      </w:pPr>
      <w:r>
        <w:rPr>
          <w:rFonts w:hint="eastAsia"/>
          <w:b w:val="0"/>
          <w:bCs w:val="0"/>
          <w:sz w:val="28"/>
          <w:szCs w:val="28"/>
        </w:rPr>
        <w:t>应变组织相关各组人员在总负责人的带领下，认真学习有关本预案的内容，由应变组织总负责人按每年至少培训1次的原则，对各应急组的负责人和成员以及企业各级从业人员进行宣传和教育有关事故预防、避险、自救、互救、减灾、风险评估等方面的常识，使单位从业人员能够熟练掌握相应的应急技能。</w:t>
      </w:r>
    </w:p>
    <w:p>
      <w:pPr>
        <w:pStyle w:val="95"/>
        <w:spacing w:line="520" w:lineRule="exact"/>
        <w:ind w:firstLine="560"/>
        <w:jc w:val="both"/>
        <w:rPr>
          <w:b w:val="0"/>
          <w:bCs w:val="0"/>
          <w:sz w:val="28"/>
          <w:szCs w:val="28"/>
        </w:rPr>
      </w:pPr>
      <w:r>
        <w:rPr>
          <w:rFonts w:hint="eastAsia"/>
          <w:b w:val="0"/>
          <w:bCs w:val="0"/>
          <w:sz w:val="28"/>
          <w:szCs w:val="28"/>
        </w:rPr>
        <w:t>强化职工熟悉本岗位工艺流程、物料特性、设备、自控仪表等基本性能，懂得在异常情况下如何处置，消除事故隐患。并对社区或周边人员进行应急响应知识的宣传。</w:t>
      </w:r>
    </w:p>
    <w:p>
      <w:pPr>
        <w:pStyle w:val="95"/>
        <w:spacing w:line="520" w:lineRule="exact"/>
        <w:ind w:firstLine="560"/>
        <w:jc w:val="both"/>
        <w:rPr>
          <w:b w:val="0"/>
          <w:bCs w:val="0"/>
          <w:sz w:val="28"/>
          <w:szCs w:val="28"/>
        </w:rPr>
      </w:pPr>
      <w:r>
        <w:rPr>
          <w:rFonts w:hint="eastAsia"/>
          <w:b w:val="0"/>
          <w:bCs w:val="0"/>
          <w:sz w:val="28"/>
          <w:szCs w:val="28"/>
        </w:rPr>
        <w:t>员工应急知识培训主要包括以下内容：</w:t>
      </w:r>
    </w:p>
    <w:p>
      <w:pPr>
        <w:pStyle w:val="95"/>
        <w:spacing w:line="520" w:lineRule="exact"/>
        <w:ind w:firstLine="560"/>
        <w:jc w:val="both"/>
        <w:rPr>
          <w:b w:val="0"/>
          <w:bCs w:val="0"/>
          <w:sz w:val="28"/>
          <w:szCs w:val="28"/>
        </w:rPr>
      </w:pPr>
      <w:r>
        <w:rPr>
          <w:rFonts w:hint="eastAsia"/>
          <w:b w:val="0"/>
          <w:bCs w:val="0"/>
          <w:sz w:val="28"/>
          <w:szCs w:val="28"/>
        </w:rPr>
        <w:t>（1）生产区和原料存储区操作人员</w:t>
      </w:r>
    </w:p>
    <w:p>
      <w:pPr>
        <w:pStyle w:val="95"/>
        <w:spacing w:line="520" w:lineRule="exact"/>
        <w:ind w:firstLine="560"/>
        <w:jc w:val="both"/>
        <w:rPr>
          <w:b w:val="0"/>
          <w:bCs w:val="0"/>
          <w:sz w:val="28"/>
          <w:szCs w:val="28"/>
        </w:rPr>
      </w:pPr>
      <w:r>
        <w:rPr>
          <w:rFonts w:hint="eastAsia"/>
          <w:b w:val="0"/>
          <w:bCs w:val="0"/>
          <w:sz w:val="28"/>
          <w:szCs w:val="28"/>
        </w:rPr>
        <w:t>针对应急救援的基本要求，系统培训厂区操作人员，发生各级环境污染事件时报警、紧急处置、逃生、个体防护、急救、紧急疏散等程序的基本要求。</w:t>
      </w:r>
    </w:p>
    <w:p>
      <w:pPr>
        <w:pStyle w:val="95"/>
        <w:spacing w:line="520" w:lineRule="exact"/>
        <w:ind w:firstLine="560"/>
        <w:jc w:val="both"/>
        <w:rPr>
          <w:b w:val="0"/>
          <w:bCs w:val="0"/>
          <w:sz w:val="28"/>
          <w:szCs w:val="28"/>
        </w:rPr>
      </w:pPr>
      <w:r>
        <w:rPr>
          <w:rFonts w:hint="eastAsia"/>
          <w:b w:val="0"/>
          <w:bCs w:val="0"/>
          <w:sz w:val="28"/>
          <w:szCs w:val="28"/>
        </w:rPr>
        <w:t>采取的方式：课堂教学、综合讨论、现场讲解等。</w:t>
      </w:r>
    </w:p>
    <w:p>
      <w:pPr>
        <w:pStyle w:val="95"/>
        <w:spacing w:line="520" w:lineRule="exact"/>
        <w:ind w:firstLine="560"/>
        <w:jc w:val="both"/>
        <w:rPr>
          <w:b w:val="0"/>
          <w:bCs w:val="0"/>
          <w:sz w:val="28"/>
          <w:szCs w:val="28"/>
        </w:rPr>
      </w:pPr>
      <w:r>
        <w:rPr>
          <w:rFonts w:hint="eastAsia"/>
          <w:b w:val="0"/>
          <w:bCs w:val="0"/>
          <w:sz w:val="28"/>
          <w:szCs w:val="28"/>
        </w:rPr>
        <w:t>培训时间：每季度不少于2小时。</w:t>
      </w:r>
    </w:p>
    <w:p>
      <w:pPr>
        <w:pStyle w:val="95"/>
        <w:spacing w:line="520" w:lineRule="exact"/>
        <w:ind w:firstLine="560"/>
        <w:jc w:val="both"/>
        <w:rPr>
          <w:b w:val="0"/>
          <w:bCs w:val="0"/>
          <w:sz w:val="28"/>
          <w:szCs w:val="28"/>
        </w:rPr>
      </w:pPr>
      <w:r>
        <w:rPr>
          <w:rFonts w:hint="eastAsia"/>
          <w:b w:val="0"/>
          <w:bCs w:val="0"/>
          <w:sz w:val="28"/>
          <w:szCs w:val="28"/>
        </w:rPr>
        <w:t>（2）应急救援队伍</w:t>
      </w:r>
    </w:p>
    <w:p>
      <w:pPr>
        <w:pStyle w:val="95"/>
        <w:spacing w:line="520" w:lineRule="exact"/>
        <w:ind w:firstLine="560"/>
        <w:jc w:val="both"/>
        <w:rPr>
          <w:b w:val="0"/>
          <w:bCs w:val="0"/>
          <w:sz w:val="28"/>
          <w:szCs w:val="28"/>
        </w:rPr>
      </w:pPr>
      <w:r>
        <w:rPr>
          <w:rFonts w:hint="eastAsia"/>
          <w:b w:val="0"/>
          <w:bCs w:val="0"/>
          <w:sz w:val="28"/>
          <w:szCs w:val="28"/>
        </w:rPr>
        <w:t>对厂区应急救援队伍的队员进行应急救援专业培训，内容主要为环境污染事件应急处置过程中应完成的抢险、救援、灭火、防护、抢救伤员等。</w:t>
      </w:r>
    </w:p>
    <w:p>
      <w:pPr>
        <w:pStyle w:val="95"/>
        <w:spacing w:line="520" w:lineRule="exact"/>
        <w:ind w:firstLine="560"/>
        <w:jc w:val="both"/>
        <w:rPr>
          <w:b w:val="0"/>
          <w:bCs w:val="0"/>
          <w:sz w:val="28"/>
          <w:szCs w:val="28"/>
        </w:rPr>
      </w:pPr>
      <w:r>
        <w:rPr>
          <w:rFonts w:hint="eastAsia"/>
          <w:b w:val="0"/>
          <w:bCs w:val="0"/>
          <w:sz w:val="28"/>
          <w:szCs w:val="28"/>
        </w:rPr>
        <w:t>采取的方式：课堂教学、综合讨论、现场讲解、模拟事件发生等。</w:t>
      </w:r>
    </w:p>
    <w:p>
      <w:pPr>
        <w:pStyle w:val="95"/>
        <w:spacing w:line="520" w:lineRule="exact"/>
        <w:ind w:firstLine="560"/>
        <w:jc w:val="both"/>
        <w:rPr>
          <w:b w:val="0"/>
          <w:bCs w:val="0"/>
          <w:sz w:val="28"/>
          <w:szCs w:val="28"/>
        </w:rPr>
      </w:pPr>
      <w:r>
        <w:rPr>
          <w:rFonts w:hint="eastAsia"/>
          <w:b w:val="0"/>
          <w:bCs w:val="0"/>
          <w:sz w:val="28"/>
          <w:szCs w:val="28"/>
        </w:rPr>
        <w:t>培训时间：每季度不少于2小时。</w:t>
      </w:r>
    </w:p>
    <w:p>
      <w:pPr>
        <w:spacing w:line="520" w:lineRule="exact"/>
        <w:ind w:firstLine="560" w:firstLineChars="200"/>
        <w:rPr>
          <w:rFonts w:eastAsia="仿宋_GB2312"/>
          <w:bCs/>
          <w:kern w:val="44"/>
          <w:sz w:val="28"/>
          <w:szCs w:val="28"/>
        </w:rPr>
      </w:pPr>
      <w:r>
        <w:rPr>
          <w:rFonts w:hint="eastAsia" w:eastAsia="仿宋_GB2312"/>
          <w:bCs/>
          <w:kern w:val="44"/>
          <w:sz w:val="28"/>
          <w:szCs w:val="28"/>
        </w:rPr>
        <w:t>（3）应急指挥机构</w:t>
      </w:r>
    </w:p>
    <w:p>
      <w:pPr>
        <w:spacing w:line="520" w:lineRule="exact"/>
        <w:ind w:firstLine="560" w:firstLineChars="200"/>
        <w:rPr>
          <w:rFonts w:eastAsia="仿宋_GB2312"/>
          <w:bCs/>
          <w:kern w:val="44"/>
          <w:sz w:val="28"/>
          <w:szCs w:val="28"/>
        </w:rPr>
      </w:pPr>
      <w:r>
        <w:rPr>
          <w:rFonts w:hint="eastAsia" w:eastAsia="仿宋_GB2312"/>
          <w:bCs/>
          <w:kern w:val="44"/>
          <w:sz w:val="28"/>
          <w:szCs w:val="28"/>
        </w:rPr>
        <w:t>邀请应急救援专家，就厂区环境污染事件的指挥、决策、各部门配合等内容进行培训。</w:t>
      </w:r>
    </w:p>
    <w:p>
      <w:pPr>
        <w:spacing w:line="520" w:lineRule="exact"/>
        <w:ind w:firstLine="560" w:firstLineChars="200"/>
        <w:rPr>
          <w:rFonts w:eastAsia="仿宋_GB2312"/>
          <w:bCs/>
          <w:kern w:val="44"/>
          <w:sz w:val="28"/>
          <w:szCs w:val="28"/>
        </w:rPr>
      </w:pPr>
      <w:r>
        <w:rPr>
          <w:rFonts w:hint="eastAsia" w:eastAsia="仿宋_GB2312"/>
          <w:bCs/>
          <w:kern w:val="44"/>
          <w:sz w:val="28"/>
          <w:szCs w:val="28"/>
        </w:rPr>
        <w:t>采取的方式：综合讨论、专家讲座等。</w:t>
      </w:r>
    </w:p>
    <w:p>
      <w:pPr>
        <w:spacing w:line="520" w:lineRule="exact"/>
        <w:ind w:firstLine="560" w:firstLineChars="200"/>
        <w:rPr>
          <w:rFonts w:eastAsia="仿宋_GB2312"/>
          <w:bCs/>
          <w:kern w:val="44"/>
          <w:sz w:val="28"/>
          <w:szCs w:val="28"/>
        </w:rPr>
      </w:pPr>
      <w:r>
        <w:rPr>
          <w:rFonts w:hint="eastAsia" w:eastAsia="仿宋_GB2312"/>
          <w:bCs/>
          <w:kern w:val="44"/>
          <w:sz w:val="28"/>
          <w:szCs w:val="28"/>
        </w:rPr>
        <w:t>培训时间：每年1次。</w:t>
      </w:r>
    </w:p>
    <w:p>
      <w:pPr>
        <w:spacing w:line="520" w:lineRule="exact"/>
        <w:ind w:firstLine="560" w:firstLineChars="200"/>
        <w:rPr>
          <w:rFonts w:eastAsia="仿宋_GB2312"/>
          <w:bCs/>
          <w:kern w:val="44"/>
          <w:sz w:val="28"/>
          <w:szCs w:val="28"/>
        </w:rPr>
      </w:pPr>
      <w:r>
        <w:rPr>
          <w:rFonts w:hint="eastAsia" w:eastAsia="仿宋_GB2312"/>
          <w:bCs/>
          <w:kern w:val="44"/>
          <w:sz w:val="28"/>
          <w:szCs w:val="28"/>
        </w:rPr>
        <w:t>（4）周边群众的宣传</w:t>
      </w:r>
    </w:p>
    <w:p>
      <w:pPr>
        <w:spacing w:line="520" w:lineRule="exact"/>
        <w:ind w:firstLine="560" w:firstLineChars="200"/>
        <w:rPr>
          <w:rFonts w:eastAsia="仿宋_GB2312"/>
          <w:bCs/>
          <w:kern w:val="44"/>
          <w:sz w:val="28"/>
          <w:szCs w:val="28"/>
        </w:rPr>
      </w:pPr>
      <w:r>
        <w:rPr>
          <w:rFonts w:hint="eastAsia" w:eastAsia="仿宋_GB2312"/>
          <w:bCs/>
          <w:kern w:val="44"/>
          <w:sz w:val="28"/>
          <w:szCs w:val="28"/>
        </w:rPr>
        <w:t>针对疏散、个体防护等内容，向周边群众进行宣传，使事件涉及到的区域都能对环境污染事件应急救援的基本程序、应该采取的措施等内容有全面了解；并掌握紧急疏散程序、步骤等。</w:t>
      </w:r>
    </w:p>
    <w:p>
      <w:pPr>
        <w:spacing w:line="520" w:lineRule="exact"/>
        <w:ind w:firstLine="560" w:firstLineChars="200"/>
        <w:rPr>
          <w:rFonts w:eastAsia="仿宋_GB2312"/>
          <w:bCs/>
          <w:kern w:val="44"/>
          <w:sz w:val="28"/>
          <w:szCs w:val="28"/>
        </w:rPr>
      </w:pPr>
      <w:r>
        <w:rPr>
          <w:rFonts w:hint="eastAsia" w:eastAsia="仿宋_GB2312"/>
          <w:bCs/>
          <w:kern w:val="44"/>
          <w:sz w:val="28"/>
          <w:szCs w:val="28"/>
        </w:rPr>
        <w:t>采取的方式：口头宣传、应急救援知识讲座、疏散联系等。</w:t>
      </w:r>
    </w:p>
    <w:p>
      <w:pPr>
        <w:spacing w:line="520" w:lineRule="exact"/>
        <w:ind w:firstLine="560" w:firstLineChars="200"/>
        <w:rPr>
          <w:rFonts w:eastAsia="仿宋_GB2312"/>
          <w:bCs/>
          <w:kern w:val="44"/>
          <w:sz w:val="28"/>
          <w:szCs w:val="28"/>
        </w:rPr>
      </w:pPr>
      <w:r>
        <w:rPr>
          <w:rFonts w:hint="eastAsia" w:eastAsia="仿宋_GB2312"/>
          <w:bCs/>
          <w:kern w:val="44"/>
          <w:sz w:val="28"/>
          <w:szCs w:val="28"/>
        </w:rPr>
        <w:t>时间：每年不少于1次。</w:t>
      </w:r>
    </w:p>
    <w:p>
      <w:pPr>
        <w:pStyle w:val="6"/>
        <w:spacing w:before="0" w:beforeAutospacing="0" w:line="520" w:lineRule="exact"/>
        <w:ind w:left="0" w:firstLine="0"/>
      </w:pPr>
      <w:bookmarkStart w:id="141" w:name="_Toc4713"/>
      <w:r>
        <w:rPr>
          <w:rFonts w:hint="eastAsia"/>
        </w:rPr>
        <w:t>演练</w:t>
      </w:r>
      <w:bookmarkEnd w:id="141"/>
    </w:p>
    <w:p>
      <w:pPr>
        <w:spacing w:line="520" w:lineRule="exact"/>
        <w:ind w:firstLine="560" w:firstLineChars="200"/>
        <w:rPr>
          <w:rFonts w:eastAsia="仿宋_GB2312"/>
          <w:bCs/>
          <w:kern w:val="44"/>
          <w:sz w:val="28"/>
          <w:szCs w:val="28"/>
        </w:rPr>
      </w:pPr>
      <w:r>
        <w:rPr>
          <w:rFonts w:hint="eastAsia" w:eastAsia="仿宋_GB2312"/>
          <w:bCs/>
          <w:kern w:val="44"/>
          <w:sz w:val="28"/>
          <w:szCs w:val="28"/>
        </w:rPr>
        <w:t>应急演练是检验、评价和保持应急能力的一个重要手段。它可在事故真正发生前暴露预案和程序的缺陷；发现应急资源的不足（包括人力和设备等）；改善各应急部门、机构、人员之间的协调；增强公众对突发重大事故救援的信心和应急意识；提高应急人员的熟练程度和技术水平；进一步明确各自的岗位与职责；提高各级预案之间的协调性；提高整体应急反应能力。</w:t>
      </w:r>
    </w:p>
    <w:p>
      <w:pPr>
        <w:pStyle w:val="8"/>
        <w:spacing w:line="520" w:lineRule="exact"/>
        <w:ind w:left="0" w:firstLine="0"/>
        <w:rPr>
          <w:rFonts w:eastAsia="仿宋_GB2312"/>
          <w:sz w:val="28"/>
          <w:szCs w:val="28"/>
        </w:rPr>
      </w:pPr>
      <w:r>
        <w:rPr>
          <w:rFonts w:hint="eastAsia" w:eastAsia="仿宋_GB2312"/>
          <w:sz w:val="28"/>
          <w:szCs w:val="28"/>
        </w:rPr>
        <w:t>演练的组织和级别</w:t>
      </w:r>
    </w:p>
    <w:p>
      <w:pPr>
        <w:spacing w:line="520" w:lineRule="exact"/>
        <w:ind w:firstLine="560" w:firstLineChars="200"/>
        <w:rPr>
          <w:rFonts w:eastAsia="仿宋_GB2312"/>
          <w:bCs/>
          <w:kern w:val="44"/>
          <w:sz w:val="28"/>
          <w:szCs w:val="28"/>
        </w:rPr>
      </w:pPr>
      <w:r>
        <w:rPr>
          <w:rFonts w:hint="eastAsia" w:eastAsia="仿宋_GB2312"/>
          <w:bCs/>
          <w:kern w:val="44"/>
          <w:sz w:val="28"/>
          <w:szCs w:val="28"/>
        </w:rPr>
        <w:t>预案演练由应急指挥中心总指挥负责组织策划工作，各应急领导小组根据参加人员具体分工，以提高对事件应急处理的能力。其演练内容包括单项演练、公司演练、车间演练、班组级应急演练等四部分，具体如下：</w:t>
      </w:r>
    </w:p>
    <w:p>
      <w:pPr>
        <w:spacing w:line="520" w:lineRule="exact"/>
        <w:ind w:firstLine="560" w:firstLineChars="200"/>
        <w:rPr>
          <w:rFonts w:eastAsia="仿宋_GB2312"/>
          <w:bCs/>
          <w:kern w:val="44"/>
          <w:sz w:val="28"/>
          <w:szCs w:val="28"/>
        </w:rPr>
      </w:pPr>
      <w:r>
        <w:rPr>
          <w:rFonts w:hint="eastAsia" w:eastAsia="仿宋_GB2312"/>
          <w:bCs/>
          <w:kern w:val="44"/>
          <w:sz w:val="28"/>
          <w:szCs w:val="28"/>
        </w:rPr>
        <w:t>（1）演练项目</w:t>
      </w:r>
    </w:p>
    <w:p>
      <w:pPr>
        <w:spacing w:line="520" w:lineRule="exact"/>
        <w:ind w:firstLine="560" w:firstLineChars="200"/>
        <w:rPr>
          <w:rFonts w:eastAsia="仿宋_GB2312"/>
          <w:bCs/>
          <w:kern w:val="44"/>
          <w:sz w:val="28"/>
          <w:szCs w:val="28"/>
        </w:rPr>
      </w:pPr>
      <w:r>
        <w:rPr>
          <w:rFonts w:hint="eastAsia" w:eastAsia="仿宋_GB2312"/>
          <w:bCs/>
          <w:kern w:val="44"/>
          <w:sz w:val="28"/>
          <w:szCs w:val="28"/>
        </w:rPr>
        <w:t>重点加强业务技术的培训，掌握针对危险目标的抢险技术，并组织单项演练和综合训练演习。</w:t>
      </w:r>
    </w:p>
    <w:p>
      <w:pPr>
        <w:spacing w:line="520" w:lineRule="exact"/>
        <w:ind w:firstLine="560" w:firstLineChars="200"/>
        <w:rPr>
          <w:rFonts w:eastAsia="仿宋_GB2312"/>
          <w:bCs/>
          <w:kern w:val="44"/>
          <w:sz w:val="28"/>
          <w:szCs w:val="28"/>
        </w:rPr>
      </w:pPr>
      <w:r>
        <w:rPr>
          <w:rFonts w:hint="eastAsia" w:eastAsia="仿宋_GB2312"/>
          <w:bCs/>
          <w:kern w:val="44"/>
          <w:sz w:val="28"/>
          <w:szCs w:val="28"/>
        </w:rPr>
        <w:t>（2）单项演练</w:t>
      </w:r>
    </w:p>
    <w:p>
      <w:pPr>
        <w:spacing w:line="520" w:lineRule="exact"/>
        <w:ind w:firstLine="560" w:firstLineChars="200"/>
        <w:rPr>
          <w:rFonts w:eastAsia="仿宋_GB2312"/>
          <w:bCs/>
          <w:kern w:val="44"/>
          <w:sz w:val="28"/>
          <w:szCs w:val="28"/>
        </w:rPr>
      </w:pPr>
      <w:r>
        <w:rPr>
          <w:rFonts w:hint="eastAsia" w:eastAsia="仿宋_GB2312"/>
          <w:bCs/>
          <w:kern w:val="44"/>
          <w:sz w:val="28"/>
          <w:szCs w:val="28"/>
        </w:rPr>
        <w:t>①现场急救演练。及时恢复伤员的呼吸和心跳，是保证伤者维持生命的关键。每名抢险人员都必须学会现场抢救人员的一般知识。</w:t>
      </w:r>
    </w:p>
    <w:p>
      <w:pPr>
        <w:spacing w:line="520" w:lineRule="exact"/>
        <w:ind w:firstLine="560" w:firstLineChars="200"/>
        <w:rPr>
          <w:rFonts w:eastAsia="仿宋_GB2312"/>
          <w:bCs/>
          <w:kern w:val="44"/>
          <w:sz w:val="28"/>
          <w:szCs w:val="28"/>
        </w:rPr>
      </w:pPr>
      <w:r>
        <w:rPr>
          <w:rFonts w:hint="eastAsia" w:eastAsia="仿宋_GB2312"/>
          <w:bCs/>
          <w:kern w:val="44"/>
          <w:sz w:val="28"/>
          <w:szCs w:val="28"/>
        </w:rPr>
        <w:t>②报警和通报训练。演习前预先通知各单位做好准备，报警信号、报警电话、手机等保持畅通，按照约定的信号逐个演习。</w:t>
      </w:r>
    </w:p>
    <w:p>
      <w:pPr>
        <w:spacing w:line="520" w:lineRule="exact"/>
        <w:ind w:firstLine="560" w:firstLineChars="200"/>
        <w:rPr>
          <w:rFonts w:eastAsia="仿宋_GB2312"/>
          <w:bCs/>
          <w:kern w:val="44"/>
          <w:sz w:val="28"/>
          <w:szCs w:val="28"/>
        </w:rPr>
      </w:pPr>
      <w:r>
        <w:rPr>
          <w:rFonts w:hint="eastAsia" w:eastAsia="仿宋_GB2312"/>
          <w:bCs/>
          <w:kern w:val="44"/>
          <w:sz w:val="28"/>
          <w:szCs w:val="28"/>
        </w:rPr>
        <w:t>③进入现场速度的训练。各职能队伍急救器械等必须装备齐全，以检验其应急水平。</w:t>
      </w:r>
    </w:p>
    <w:p>
      <w:pPr>
        <w:spacing w:line="520" w:lineRule="exact"/>
        <w:ind w:firstLine="560" w:firstLineChars="200"/>
        <w:rPr>
          <w:rFonts w:eastAsia="仿宋_GB2312"/>
          <w:bCs/>
          <w:kern w:val="44"/>
          <w:sz w:val="28"/>
          <w:szCs w:val="28"/>
        </w:rPr>
      </w:pPr>
      <w:r>
        <w:rPr>
          <w:rFonts w:hint="eastAsia" w:eastAsia="仿宋_GB2312"/>
          <w:bCs/>
          <w:kern w:val="44"/>
          <w:sz w:val="28"/>
          <w:szCs w:val="28"/>
        </w:rPr>
        <w:t>④洗消的训练。主要消除环境、设备和人体的污染。</w:t>
      </w:r>
    </w:p>
    <w:p>
      <w:pPr>
        <w:spacing w:line="520" w:lineRule="exact"/>
        <w:ind w:firstLine="560" w:firstLineChars="200"/>
        <w:rPr>
          <w:rFonts w:eastAsia="仿宋_GB2312"/>
          <w:bCs/>
          <w:kern w:val="44"/>
          <w:sz w:val="28"/>
          <w:szCs w:val="28"/>
        </w:rPr>
      </w:pPr>
      <w:r>
        <w:rPr>
          <w:rFonts w:hint="eastAsia" w:eastAsia="仿宋_GB2312"/>
          <w:bCs/>
          <w:kern w:val="44"/>
          <w:sz w:val="28"/>
          <w:szCs w:val="28"/>
        </w:rPr>
        <w:t>⑤交通管制，人员疏散训练。</w:t>
      </w:r>
    </w:p>
    <w:p>
      <w:pPr>
        <w:spacing w:line="520" w:lineRule="exact"/>
        <w:ind w:firstLine="560" w:firstLineChars="200"/>
        <w:rPr>
          <w:rFonts w:eastAsia="仿宋_GB2312"/>
          <w:bCs/>
          <w:kern w:val="44"/>
          <w:sz w:val="28"/>
          <w:szCs w:val="28"/>
        </w:rPr>
      </w:pPr>
      <w:r>
        <w:rPr>
          <w:rFonts w:hint="eastAsia" w:eastAsia="仿宋_GB2312"/>
          <w:bCs/>
          <w:kern w:val="44"/>
          <w:sz w:val="28"/>
          <w:szCs w:val="28"/>
        </w:rPr>
        <w:t>⑥事件危害程度估算训练等。</w:t>
      </w:r>
    </w:p>
    <w:p>
      <w:pPr>
        <w:spacing w:line="520" w:lineRule="exact"/>
        <w:ind w:firstLine="560" w:firstLineChars="200"/>
        <w:rPr>
          <w:rFonts w:eastAsia="仿宋_GB2312"/>
          <w:bCs/>
          <w:kern w:val="44"/>
          <w:sz w:val="28"/>
          <w:szCs w:val="28"/>
        </w:rPr>
      </w:pPr>
      <w:r>
        <w:rPr>
          <w:rFonts w:hint="eastAsia" w:eastAsia="仿宋_GB2312"/>
          <w:bCs/>
          <w:kern w:val="44"/>
          <w:sz w:val="28"/>
          <w:szCs w:val="28"/>
        </w:rPr>
        <w:t>（3）公司演练</w:t>
      </w:r>
    </w:p>
    <w:p>
      <w:pPr>
        <w:spacing w:line="520" w:lineRule="exact"/>
        <w:ind w:firstLine="560" w:firstLineChars="200"/>
        <w:rPr>
          <w:rFonts w:eastAsia="仿宋_GB2312"/>
          <w:bCs/>
          <w:kern w:val="44"/>
          <w:sz w:val="28"/>
          <w:szCs w:val="28"/>
        </w:rPr>
      </w:pPr>
      <w:r>
        <w:rPr>
          <w:rFonts w:hint="eastAsia" w:eastAsia="仿宋_GB2312"/>
          <w:bCs/>
          <w:kern w:val="44"/>
          <w:sz w:val="28"/>
          <w:szCs w:val="28"/>
        </w:rPr>
        <w:t>①石棉被自救：主要演练扑救初起火。发现者报告班组长，班组长启动应急处置方案，实施石棉被自救，同时安排上报。</w:t>
      </w:r>
    </w:p>
    <w:p>
      <w:pPr>
        <w:spacing w:line="520" w:lineRule="exact"/>
        <w:ind w:firstLine="560" w:firstLineChars="200"/>
        <w:rPr>
          <w:rFonts w:eastAsia="仿宋_GB2312"/>
          <w:bCs/>
          <w:kern w:val="44"/>
          <w:sz w:val="28"/>
          <w:szCs w:val="28"/>
        </w:rPr>
      </w:pPr>
      <w:r>
        <w:rPr>
          <w:rFonts w:hint="eastAsia" w:eastAsia="仿宋_GB2312"/>
          <w:bCs/>
          <w:kern w:val="44"/>
          <w:sz w:val="28"/>
          <w:szCs w:val="28"/>
        </w:rPr>
        <w:t>②干粉灭火自救：车间主任接到报告启动车间应急预案，实施灭火器扑救，同时安排通过值班室报告公司应急救援总指挥。主要演练扑救初起火及熟练掌握干粉灭火器的使用。</w:t>
      </w:r>
    </w:p>
    <w:p>
      <w:pPr>
        <w:spacing w:line="520" w:lineRule="exact"/>
        <w:ind w:firstLine="560" w:firstLineChars="200"/>
        <w:rPr>
          <w:rFonts w:eastAsia="仿宋_GB2312"/>
          <w:bCs/>
          <w:kern w:val="44"/>
          <w:sz w:val="28"/>
          <w:szCs w:val="28"/>
        </w:rPr>
      </w:pPr>
      <w:r>
        <w:rPr>
          <w:rFonts w:hint="eastAsia" w:eastAsia="仿宋_GB2312"/>
          <w:bCs/>
          <w:kern w:val="44"/>
          <w:sz w:val="28"/>
          <w:szCs w:val="28"/>
        </w:rPr>
        <w:t>③堵漏：罐区、设备等发生破损泄漏时，发现者报告车间主任，车间主任通知公司应急救援小组，实施抢险。主要演练使用堵漏工具对破损点进行堵漏，并及时关闭雨水排口阀门，打开事故应急池阀门，将泄漏的物料导流至应急事故池中。</w:t>
      </w:r>
    </w:p>
    <w:p>
      <w:pPr>
        <w:spacing w:line="520" w:lineRule="exact"/>
        <w:ind w:firstLine="560" w:firstLineChars="200"/>
        <w:rPr>
          <w:rFonts w:eastAsia="仿宋_GB2312"/>
          <w:bCs/>
          <w:kern w:val="44"/>
          <w:sz w:val="28"/>
          <w:szCs w:val="28"/>
        </w:rPr>
      </w:pPr>
      <w:r>
        <w:rPr>
          <w:rFonts w:hint="eastAsia" w:eastAsia="仿宋_GB2312"/>
          <w:bCs/>
          <w:kern w:val="44"/>
          <w:sz w:val="28"/>
          <w:szCs w:val="28"/>
        </w:rPr>
        <w:t>④人员疏散与救护：救护队到达现场后，设置警戒线，向上风向疏散人员。确认无爆炸危险前提下，双人穿防化服互为监护，搜救现场受伤人员。将受伤人员转移至安全地带，接应人员实施冲洗包扎简单救护后送医院。</w:t>
      </w:r>
    </w:p>
    <w:p>
      <w:pPr>
        <w:spacing w:line="520" w:lineRule="exact"/>
        <w:ind w:firstLine="560" w:firstLineChars="200"/>
        <w:rPr>
          <w:rFonts w:eastAsia="仿宋_GB2312"/>
          <w:bCs/>
          <w:kern w:val="44"/>
          <w:sz w:val="28"/>
          <w:szCs w:val="28"/>
        </w:rPr>
      </w:pPr>
      <w:r>
        <w:rPr>
          <w:rFonts w:hint="eastAsia" w:eastAsia="仿宋_GB2312"/>
          <w:bCs/>
          <w:kern w:val="44"/>
          <w:sz w:val="28"/>
          <w:szCs w:val="28"/>
        </w:rPr>
        <w:t>⑤交通疏导：救护队派人负责事件现场周边区域的道路疏导，接应外来协防救援力量。</w:t>
      </w:r>
    </w:p>
    <w:p>
      <w:pPr>
        <w:spacing w:line="520" w:lineRule="exact"/>
        <w:ind w:firstLine="560" w:firstLineChars="200"/>
        <w:rPr>
          <w:rFonts w:eastAsia="仿宋_GB2312"/>
          <w:bCs/>
          <w:kern w:val="44"/>
          <w:sz w:val="28"/>
          <w:szCs w:val="28"/>
        </w:rPr>
      </w:pPr>
      <w:r>
        <w:rPr>
          <w:rFonts w:hint="eastAsia" w:eastAsia="仿宋_GB2312"/>
          <w:bCs/>
          <w:kern w:val="44"/>
          <w:sz w:val="28"/>
          <w:szCs w:val="28"/>
        </w:rPr>
        <w:t>⑥社会救援：经总指挥授权向友邻企业和经济开发区求援协防，打119报警。</w:t>
      </w:r>
    </w:p>
    <w:p>
      <w:pPr>
        <w:spacing w:line="520" w:lineRule="exact"/>
        <w:ind w:firstLine="560" w:firstLineChars="200"/>
        <w:rPr>
          <w:rFonts w:eastAsia="仿宋_GB2312"/>
          <w:bCs/>
          <w:kern w:val="44"/>
          <w:sz w:val="28"/>
          <w:szCs w:val="28"/>
        </w:rPr>
      </w:pPr>
      <w:r>
        <w:rPr>
          <w:rFonts w:hint="eastAsia" w:eastAsia="仿宋_GB2312"/>
          <w:bCs/>
          <w:kern w:val="44"/>
          <w:sz w:val="28"/>
          <w:szCs w:val="28"/>
        </w:rPr>
        <w:t>⑦环保监测：应急监测组派人实施大气和洗消水取样分析。应急监测组向总指挥部报告检测情况。</w:t>
      </w:r>
    </w:p>
    <w:p>
      <w:pPr>
        <w:spacing w:line="520" w:lineRule="exact"/>
        <w:ind w:firstLine="560" w:firstLineChars="200"/>
        <w:rPr>
          <w:rFonts w:eastAsia="仿宋_GB2312"/>
          <w:bCs/>
          <w:kern w:val="44"/>
          <w:sz w:val="28"/>
          <w:szCs w:val="28"/>
        </w:rPr>
      </w:pPr>
      <w:r>
        <w:rPr>
          <w:rFonts w:hint="eastAsia" w:eastAsia="仿宋_GB2312"/>
          <w:bCs/>
          <w:kern w:val="44"/>
          <w:sz w:val="28"/>
          <w:szCs w:val="28"/>
        </w:rPr>
        <w:t>⑧应急演练结束：总指挥根据各分队汇报情况宣布演练结束。</w:t>
      </w:r>
    </w:p>
    <w:p>
      <w:pPr>
        <w:spacing w:line="520" w:lineRule="exact"/>
        <w:ind w:firstLine="560" w:firstLineChars="200"/>
        <w:rPr>
          <w:rFonts w:eastAsia="仿宋_GB2312"/>
          <w:bCs/>
          <w:kern w:val="44"/>
          <w:sz w:val="28"/>
          <w:szCs w:val="28"/>
        </w:rPr>
      </w:pPr>
      <w:r>
        <w:rPr>
          <w:rFonts w:hint="eastAsia" w:eastAsia="仿宋_GB2312"/>
          <w:bCs/>
          <w:kern w:val="44"/>
          <w:sz w:val="28"/>
          <w:szCs w:val="28"/>
        </w:rPr>
        <w:t>⑨现场洗消：车间分队将洗消水打往事故池。</w:t>
      </w:r>
    </w:p>
    <w:p>
      <w:pPr>
        <w:spacing w:line="520" w:lineRule="exact"/>
        <w:ind w:firstLine="560" w:firstLineChars="200"/>
        <w:rPr>
          <w:rFonts w:eastAsia="仿宋_GB2312"/>
          <w:bCs/>
          <w:kern w:val="44"/>
          <w:sz w:val="28"/>
          <w:szCs w:val="28"/>
        </w:rPr>
      </w:pPr>
      <w:r>
        <w:rPr>
          <w:rFonts w:hint="eastAsia" w:eastAsia="仿宋_GB2312"/>
          <w:bCs/>
          <w:kern w:val="44"/>
          <w:sz w:val="28"/>
          <w:szCs w:val="28"/>
        </w:rPr>
        <w:t>（4）车间级演练</w:t>
      </w:r>
    </w:p>
    <w:p>
      <w:pPr>
        <w:spacing w:line="520" w:lineRule="exact"/>
        <w:ind w:firstLine="560" w:firstLineChars="200"/>
        <w:rPr>
          <w:rFonts w:eastAsia="仿宋_GB2312"/>
          <w:bCs/>
          <w:kern w:val="44"/>
          <w:sz w:val="28"/>
          <w:szCs w:val="28"/>
        </w:rPr>
      </w:pPr>
      <w:r>
        <w:rPr>
          <w:rFonts w:hint="eastAsia" w:eastAsia="仿宋_GB2312"/>
          <w:bCs/>
          <w:kern w:val="44"/>
          <w:sz w:val="28"/>
          <w:szCs w:val="28"/>
        </w:rPr>
        <w:t>每年开工初期各车间进行一次专项应急演练。必须全员参加，至少留有5张以上照片。车间组织，总结、评审工作，报安环部统一进行表彰。</w:t>
      </w:r>
    </w:p>
    <w:p>
      <w:pPr>
        <w:spacing w:line="520" w:lineRule="exact"/>
        <w:ind w:firstLine="560" w:firstLineChars="200"/>
        <w:rPr>
          <w:rFonts w:eastAsia="仿宋_GB2312"/>
          <w:bCs/>
          <w:kern w:val="44"/>
          <w:sz w:val="28"/>
          <w:szCs w:val="28"/>
        </w:rPr>
      </w:pPr>
      <w:r>
        <w:rPr>
          <w:rFonts w:hint="eastAsia" w:eastAsia="仿宋_GB2312"/>
          <w:bCs/>
          <w:kern w:val="44"/>
          <w:sz w:val="28"/>
          <w:szCs w:val="28"/>
        </w:rPr>
        <w:t>（5）班组级应急演练</w:t>
      </w:r>
    </w:p>
    <w:p>
      <w:pPr>
        <w:spacing w:line="520" w:lineRule="exact"/>
        <w:ind w:firstLine="560" w:firstLineChars="200"/>
        <w:rPr>
          <w:rFonts w:eastAsia="仿宋_GB2312"/>
          <w:bCs/>
          <w:kern w:val="44"/>
          <w:sz w:val="28"/>
          <w:szCs w:val="28"/>
        </w:rPr>
      </w:pPr>
      <w:r>
        <w:rPr>
          <w:rFonts w:hint="eastAsia" w:eastAsia="仿宋_GB2312"/>
          <w:bCs/>
          <w:kern w:val="44"/>
          <w:sz w:val="28"/>
          <w:szCs w:val="28"/>
        </w:rPr>
        <w:t>每年开工初期，结合开车前培训各班组进行一次岗位应急处置演练。平时班组结合安全活动要经常开展班组级应急演练，必须全员参加。车间组织评审工作，总结对在演练中做出突出贡献者和对预案演练提出合理化建议者，报安环部统一进行表彰。</w:t>
      </w:r>
    </w:p>
    <w:p>
      <w:pPr>
        <w:pStyle w:val="8"/>
        <w:spacing w:line="520" w:lineRule="exact"/>
        <w:ind w:left="0" w:firstLine="0"/>
        <w:rPr>
          <w:rFonts w:eastAsia="仿宋_GB2312"/>
          <w:sz w:val="28"/>
          <w:szCs w:val="28"/>
        </w:rPr>
      </w:pPr>
      <w:r>
        <w:rPr>
          <w:rFonts w:hint="eastAsia" w:eastAsia="仿宋_GB2312"/>
          <w:sz w:val="28"/>
          <w:szCs w:val="28"/>
        </w:rPr>
        <w:t>演练准备</w:t>
      </w:r>
    </w:p>
    <w:p>
      <w:pPr>
        <w:spacing w:line="520" w:lineRule="exact"/>
        <w:ind w:firstLine="560" w:firstLineChars="200"/>
        <w:rPr>
          <w:rFonts w:eastAsia="仿宋_GB2312"/>
          <w:bCs/>
          <w:kern w:val="44"/>
          <w:sz w:val="28"/>
          <w:szCs w:val="28"/>
        </w:rPr>
      </w:pPr>
      <w:r>
        <w:rPr>
          <w:rFonts w:hint="eastAsia" w:eastAsia="仿宋_GB2312"/>
          <w:bCs/>
          <w:kern w:val="44"/>
          <w:sz w:val="28"/>
          <w:szCs w:val="28"/>
        </w:rPr>
        <w:t>演练前需制订演练方案，按演练级别报应急指挥负责人审批；演练前应落实所需的各种器材装备与物资、交通车辆、防护器材的准备，以确保演练顺利进行；演练前应通知周边社区、企业人员，必要时与新闻媒体沟通，以避免造成不必要的影响。</w:t>
      </w:r>
    </w:p>
    <w:p>
      <w:pPr>
        <w:pStyle w:val="8"/>
        <w:spacing w:line="520" w:lineRule="exact"/>
        <w:ind w:left="0" w:firstLine="0"/>
        <w:rPr>
          <w:rFonts w:eastAsia="仿宋_GB2312"/>
          <w:sz w:val="28"/>
          <w:szCs w:val="28"/>
        </w:rPr>
      </w:pPr>
      <w:r>
        <w:rPr>
          <w:rFonts w:hint="eastAsia" w:eastAsia="仿宋_GB2312"/>
          <w:sz w:val="28"/>
          <w:szCs w:val="28"/>
        </w:rPr>
        <w:t>演练频次与范围</w:t>
      </w:r>
    </w:p>
    <w:p>
      <w:pPr>
        <w:spacing w:line="520" w:lineRule="exact"/>
        <w:ind w:firstLine="560" w:firstLineChars="200"/>
        <w:rPr>
          <w:rFonts w:eastAsia="仿宋_GB2312"/>
          <w:bCs/>
          <w:kern w:val="44"/>
          <w:sz w:val="28"/>
          <w:szCs w:val="28"/>
        </w:rPr>
      </w:pPr>
      <w:r>
        <w:rPr>
          <w:rFonts w:hint="eastAsia" w:eastAsia="仿宋_GB2312"/>
          <w:bCs/>
          <w:kern w:val="44"/>
          <w:sz w:val="28"/>
          <w:szCs w:val="28"/>
        </w:rPr>
        <w:t>车间演练（或训练）以报警、报告程序、现场应急处置、紧急疏散等熟悉应急响应和某项应急功能的单项演练，演练频次每年至少两次；公司级演练应急小组之间或外部应急组织之间相互协调进行的综合演练，演练频次每年至少一次。</w:t>
      </w:r>
    </w:p>
    <w:p>
      <w:pPr>
        <w:spacing w:line="520" w:lineRule="exact"/>
        <w:ind w:firstLine="560" w:firstLineChars="200"/>
        <w:rPr>
          <w:rFonts w:eastAsia="仿宋_GB2312"/>
          <w:bCs/>
          <w:kern w:val="44"/>
          <w:sz w:val="28"/>
          <w:szCs w:val="28"/>
        </w:rPr>
      </w:pPr>
      <w:r>
        <w:rPr>
          <w:rFonts w:hint="eastAsia" w:eastAsia="仿宋_GB2312"/>
          <w:bCs/>
          <w:kern w:val="44"/>
          <w:sz w:val="28"/>
          <w:szCs w:val="28"/>
        </w:rPr>
        <w:t>与政府有关部门的演练，视政府组织频次情况确定，亦可结合公司级组织的演练进行。</w:t>
      </w:r>
    </w:p>
    <w:p>
      <w:pPr>
        <w:pStyle w:val="8"/>
        <w:spacing w:line="520" w:lineRule="exact"/>
        <w:ind w:left="0" w:firstLine="0"/>
        <w:rPr>
          <w:rFonts w:eastAsia="仿宋_GB2312"/>
          <w:sz w:val="28"/>
          <w:szCs w:val="28"/>
        </w:rPr>
      </w:pPr>
      <w:r>
        <w:rPr>
          <w:rFonts w:hint="eastAsia" w:eastAsia="仿宋_GB2312"/>
          <w:sz w:val="28"/>
          <w:szCs w:val="28"/>
        </w:rPr>
        <w:t>演练总结</w:t>
      </w:r>
    </w:p>
    <w:p>
      <w:pPr>
        <w:spacing w:line="520" w:lineRule="exact"/>
        <w:ind w:firstLine="560" w:firstLineChars="200"/>
        <w:rPr>
          <w:rFonts w:eastAsia="仿宋_GB2312"/>
          <w:bCs/>
          <w:kern w:val="44"/>
          <w:sz w:val="28"/>
          <w:szCs w:val="28"/>
        </w:rPr>
      </w:pPr>
      <w:r>
        <w:rPr>
          <w:rFonts w:hint="eastAsia" w:eastAsia="仿宋_GB2312"/>
          <w:bCs/>
          <w:kern w:val="44"/>
          <w:sz w:val="28"/>
          <w:szCs w:val="28"/>
        </w:rPr>
        <w:t>预案演练要全过程记录演练过程，在全面分析演练记录及相关资料的基础上，对比参演人员表现与演练目标要求，对演练活动及其组织过程作出客观评价，并编写演练评估报告。所有应急演练活动都应进行演练评估。</w:t>
      </w:r>
    </w:p>
    <w:p>
      <w:pPr>
        <w:spacing w:line="520" w:lineRule="exact"/>
        <w:ind w:firstLine="560" w:firstLineChars="200"/>
        <w:rPr>
          <w:rFonts w:eastAsia="仿宋_GB2312"/>
          <w:bCs/>
          <w:kern w:val="44"/>
          <w:sz w:val="28"/>
          <w:szCs w:val="28"/>
        </w:rPr>
      </w:pPr>
      <w:r>
        <w:rPr>
          <w:rFonts w:hint="eastAsia" w:eastAsia="仿宋_GB2312"/>
          <w:bCs/>
          <w:kern w:val="44"/>
          <w:sz w:val="28"/>
          <w:szCs w:val="28"/>
        </w:rPr>
        <w:t>在演练结束后，要根据演练记录、演练评估报告、应急预案、现场总结等材料，对演练进行系统和全面的总结，并形成演练总结报告。若有演练参与单位，也可对本单位的演练情况进行总结。</w:t>
      </w:r>
    </w:p>
    <w:p>
      <w:pPr>
        <w:spacing w:line="520" w:lineRule="exact"/>
        <w:ind w:firstLine="560" w:firstLineChars="200"/>
        <w:rPr>
          <w:rFonts w:eastAsia="仿宋_GB2312"/>
          <w:bCs/>
          <w:kern w:val="44"/>
          <w:sz w:val="28"/>
          <w:szCs w:val="28"/>
        </w:rPr>
      </w:pPr>
      <w:r>
        <w:rPr>
          <w:rFonts w:hint="eastAsia" w:eastAsia="仿宋_GB2312"/>
          <w:bCs/>
          <w:kern w:val="44"/>
          <w:sz w:val="28"/>
          <w:szCs w:val="28"/>
        </w:rPr>
        <w:t>检查主要包括下列内容：</w:t>
      </w:r>
    </w:p>
    <w:p>
      <w:pPr>
        <w:spacing w:line="520" w:lineRule="exact"/>
        <w:ind w:firstLine="560" w:firstLineChars="200"/>
        <w:rPr>
          <w:rFonts w:eastAsia="仿宋_GB2312"/>
          <w:bCs/>
          <w:kern w:val="44"/>
          <w:sz w:val="28"/>
          <w:szCs w:val="28"/>
        </w:rPr>
      </w:pPr>
      <w:r>
        <w:rPr>
          <w:rFonts w:hint="eastAsia" w:eastAsia="仿宋_GB2312"/>
          <w:bCs/>
          <w:kern w:val="44"/>
          <w:sz w:val="28"/>
          <w:szCs w:val="28"/>
        </w:rPr>
        <w:t>（1）演练期间通讯系统是否能联络通畅。</w:t>
      </w:r>
    </w:p>
    <w:p>
      <w:pPr>
        <w:spacing w:line="520" w:lineRule="exact"/>
        <w:ind w:firstLine="560" w:firstLineChars="200"/>
        <w:rPr>
          <w:rFonts w:eastAsia="仿宋_GB2312"/>
          <w:bCs/>
          <w:kern w:val="44"/>
          <w:sz w:val="28"/>
          <w:szCs w:val="28"/>
        </w:rPr>
      </w:pPr>
      <w:r>
        <w:rPr>
          <w:rFonts w:hint="eastAsia" w:eastAsia="仿宋_GB2312"/>
          <w:bCs/>
          <w:kern w:val="44"/>
          <w:sz w:val="28"/>
          <w:szCs w:val="28"/>
        </w:rPr>
        <w:t>（2）危化品储存区发生火灾或者泄露的应急抢险处置。</w:t>
      </w:r>
    </w:p>
    <w:p>
      <w:pPr>
        <w:spacing w:line="520" w:lineRule="exact"/>
        <w:ind w:firstLine="560" w:firstLineChars="200"/>
        <w:rPr>
          <w:rFonts w:eastAsia="仿宋_GB2312"/>
          <w:bCs/>
          <w:kern w:val="44"/>
          <w:sz w:val="28"/>
          <w:szCs w:val="28"/>
        </w:rPr>
      </w:pPr>
      <w:r>
        <w:rPr>
          <w:rFonts w:hint="eastAsia" w:eastAsia="仿宋_GB2312"/>
          <w:bCs/>
          <w:kern w:val="44"/>
          <w:sz w:val="28"/>
          <w:szCs w:val="28"/>
        </w:rPr>
        <w:t>（3）演练人员是否能安全撤离。</w:t>
      </w:r>
    </w:p>
    <w:p>
      <w:pPr>
        <w:spacing w:line="520" w:lineRule="exact"/>
        <w:ind w:firstLine="560" w:firstLineChars="200"/>
        <w:rPr>
          <w:rFonts w:eastAsia="仿宋_GB2312"/>
          <w:bCs/>
          <w:kern w:val="44"/>
          <w:sz w:val="28"/>
          <w:szCs w:val="28"/>
        </w:rPr>
      </w:pPr>
      <w:r>
        <w:rPr>
          <w:rFonts w:hint="eastAsia" w:eastAsia="仿宋_GB2312"/>
          <w:bCs/>
          <w:kern w:val="44"/>
          <w:sz w:val="28"/>
          <w:szCs w:val="28"/>
        </w:rPr>
        <w:t>（4）应急救援办公室和应急救援队能否及时参与公司厂区事故抢救。</w:t>
      </w:r>
    </w:p>
    <w:p>
      <w:pPr>
        <w:spacing w:line="520" w:lineRule="exact"/>
        <w:ind w:firstLine="560" w:firstLineChars="200"/>
        <w:rPr>
          <w:rFonts w:eastAsia="仿宋_GB2312"/>
          <w:bCs/>
          <w:kern w:val="44"/>
          <w:sz w:val="28"/>
          <w:szCs w:val="28"/>
        </w:rPr>
      </w:pPr>
      <w:r>
        <w:rPr>
          <w:rFonts w:hint="eastAsia" w:eastAsia="仿宋_GB2312"/>
          <w:bCs/>
          <w:kern w:val="44"/>
          <w:sz w:val="28"/>
          <w:szCs w:val="28"/>
        </w:rPr>
        <w:t>（5）医疗组能否做好应急救援并完成抢救措施。</w:t>
      </w:r>
    </w:p>
    <w:p>
      <w:pPr>
        <w:spacing w:line="520" w:lineRule="exact"/>
        <w:ind w:firstLine="560" w:firstLineChars="200"/>
        <w:rPr>
          <w:rFonts w:eastAsia="仿宋_GB2312"/>
          <w:bCs/>
          <w:kern w:val="44"/>
          <w:sz w:val="28"/>
          <w:szCs w:val="28"/>
        </w:rPr>
      </w:pPr>
      <w:r>
        <w:rPr>
          <w:rFonts w:hint="eastAsia" w:eastAsia="仿宋_GB2312"/>
          <w:bCs/>
          <w:kern w:val="44"/>
          <w:sz w:val="28"/>
          <w:szCs w:val="28"/>
        </w:rPr>
        <w:t>（6）应急救援小组能否做好个人自我防护及他人的防护。</w:t>
      </w:r>
    </w:p>
    <w:p>
      <w:pPr>
        <w:spacing w:line="520" w:lineRule="exact"/>
        <w:ind w:firstLine="560" w:firstLineChars="200"/>
        <w:rPr>
          <w:rFonts w:eastAsia="仿宋_GB2312"/>
          <w:bCs/>
          <w:kern w:val="44"/>
          <w:sz w:val="28"/>
          <w:szCs w:val="28"/>
        </w:rPr>
      </w:pPr>
      <w:r>
        <w:rPr>
          <w:rFonts w:hint="eastAsia" w:eastAsia="仿宋_GB2312"/>
          <w:bCs/>
          <w:kern w:val="44"/>
          <w:sz w:val="28"/>
          <w:szCs w:val="28"/>
        </w:rPr>
        <w:t>（7）能否有效控制公司厂区环境事故进一步扩大。</w:t>
      </w:r>
    </w:p>
    <w:p>
      <w:pPr>
        <w:spacing w:line="520" w:lineRule="exact"/>
        <w:ind w:firstLine="560" w:firstLineChars="200"/>
        <w:rPr>
          <w:rFonts w:eastAsia="仿宋_GB2312"/>
          <w:bCs/>
          <w:kern w:val="44"/>
          <w:sz w:val="28"/>
          <w:szCs w:val="28"/>
        </w:rPr>
      </w:pPr>
      <w:r>
        <w:rPr>
          <w:rFonts w:hint="eastAsia" w:eastAsia="仿宋_GB2312"/>
          <w:bCs/>
          <w:kern w:val="44"/>
          <w:sz w:val="28"/>
          <w:szCs w:val="28"/>
        </w:rPr>
        <w:t>（8）能否做好事故的善后工作。</w:t>
      </w:r>
    </w:p>
    <w:p>
      <w:pPr>
        <w:spacing w:line="520" w:lineRule="exact"/>
        <w:ind w:firstLine="560" w:firstLineChars="200"/>
        <w:rPr>
          <w:rFonts w:eastAsia="仿宋_GB2312"/>
          <w:bCs/>
          <w:kern w:val="44"/>
          <w:sz w:val="28"/>
          <w:szCs w:val="28"/>
        </w:rPr>
      </w:pPr>
      <w:r>
        <w:rPr>
          <w:rFonts w:hint="eastAsia" w:eastAsia="仿宋_GB2312"/>
          <w:bCs/>
          <w:kern w:val="44"/>
          <w:sz w:val="28"/>
          <w:szCs w:val="28"/>
        </w:rPr>
        <w:t>（9）应急救援办公室把在演练中发现的问题及时提出解决方案，对应急预案进行修订完善。</w:t>
      </w:r>
    </w:p>
    <w:p>
      <w:pPr>
        <w:spacing w:line="520" w:lineRule="exact"/>
        <w:ind w:firstLine="560" w:firstLineChars="200"/>
        <w:rPr>
          <w:rFonts w:eastAsia="仿宋_GB2312"/>
          <w:bCs/>
          <w:kern w:val="44"/>
          <w:sz w:val="28"/>
          <w:szCs w:val="28"/>
        </w:rPr>
      </w:pPr>
      <w:r>
        <w:rPr>
          <w:rFonts w:hint="eastAsia" w:eastAsia="仿宋_GB2312"/>
          <w:bCs/>
          <w:kern w:val="44"/>
          <w:sz w:val="28"/>
          <w:szCs w:val="28"/>
        </w:rPr>
        <w:t>（10）应急救援办公室应在危险设施和危险源发生变化时及时修改应急预案。</w:t>
      </w:r>
    </w:p>
    <w:p>
      <w:pPr>
        <w:pStyle w:val="8"/>
        <w:spacing w:line="520" w:lineRule="exact"/>
        <w:ind w:left="0" w:firstLine="0"/>
        <w:rPr>
          <w:rFonts w:eastAsia="仿宋_GB2312"/>
          <w:sz w:val="28"/>
          <w:szCs w:val="28"/>
        </w:rPr>
      </w:pPr>
      <w:r>
        <w:rPr>
          <w:rFonts w:hint="eastAsia" w:eastAsia="仿宋_GB2312"/>
          <w:sz w:val="28"/>
          <w:szCs w:val="28"/>
        </w:rPr>
        <w:t>成果运用与文件归档备案</w:t>
      </w:r>
    </w:p>
    <w:p>
      <w:pPr>
        <w:spacing w:line="520" w:lineRule="exact"/>
        <w:ind w:firstLine="560" w:firstLineChars="200"/>
        <w:rPr>
          <w:rFonts w:eastAsia="仿宋_GB2312"/>
          <w:bCs/>
          <w:kern w:val="44"/>
          <w:sz w:val="28"/>
          <w:szCs w:val="28"/>
        </w:rPr>
      </w:pPr>
      <w:r>
        <w:rPr>
          <w:rFonts w:hint="eastAsia" w:eastAsia="仿宋_GB2312"/>
          <w:bCs/>
          <w:kern w:val="44"/>
          <w:sz w:val="28"/>
          <w:szCs w:val="28"/>
        </w:rPr>
        <w:t>对演练暴露出来的问题，应当及时采取措施予以改进，包括修改完善应急预案、有针对性地加强应急人员的教育和培训、对应急物资装备有计划地更新等，并建立改进任务表，按规定时间对改进情况进行监督检查。</w:t>
      </w:r>
    </w:p>
    <w:p>
      <w:pPr>
        <w:spacing w:line="520" w:lineRule="exact"/>
        <w:ind w:firstLine="560" w:firstLineChars="200"/>
        <w:rPr>
          <w:rFonts w:eastAsia="仿宋_GB2312"/>
          <w:bCs/>
          <w:kern w:val="44"/>
          <w:sz w:val="28"/>
          <w:szCs w:val="28"/>
        </w:rPr>
      </w:pPr>
      <w:r>
        <w:rPr>
          <w:rFonts w:hint="eastAsia" w:eastAsia="仿宋_GB2312"/>
          <w:bCs/>
          <w:kern w:val="44"/>
          <w:sz w:val="28"/>
          <w:szCs w:val="28"/>
        </w:rPr>
        <w:t>在演练结束后应将演练计划、演练方案、演练评估报告、演练总结报告等资料归档保存。</w:t>
      </w:r>
    </w:p>
    <w:p>
      <w:pPr>
        <w:spacing w:line="520" w:lineRule="exact"/>
        <w:ind w:firstLine="560" w:firstLineChars="200"/>
        <w:rPr>
          <w:rFonts w:eastAsia="仿宋_GB2312"/>
          <w:bCs/>
          <w:kern w:val="44"/>
          <w:sz w:val="28"/>
          <w:szCs w:val="28"/>
        </w:rPr>
      </w:pPr>
      <w:r>
        <w:rPr>
          <w:rFonts w:hint="eastAsia" w:eastAsia="仿宋_GB2312"/>
          <w:bCs/>
          <w:kern w:val="44"/>
          <w:sz w:val="28"/>
          <w:szCs w:val="28"/>
        </w:rPr>
        <w:t>对于由上级有关部门布置或参与组织的演练，或者法律、法规、规章要求备案的演练，应当将相应资料报有关部门备案。</w:t>
      </w:r>
    </w:p>
    <w:bookmarkEnd w:id="139"/>
    <w:p>
      <w:pPr>
        <w:pStyle w:val="6"/>
        <w:spacing w:before="0" w:beforeAutospacing="0" w:line="520" w:lineRule="exact"/>
        <w:ind w:left="0" w:firstLine="0"/>
      </w:pPr>
      <w:bookmarkStart w:id="142" w:name="_Toc472856724"/>
      <w:bookmarkStart w:id="143" w:name="_Toc31714"/>
      <w:r>
        <w:t>责任与奖惩</w:t>
      </w:r>
      <w:bookmarkEnd w:id="142"/>
      <w:bookmarkEnd w:id="143"/>
    </w:p>
    <w:p>
      <w:pPr>
        <w:pStyle w:val="8"/>
        <w:spacing w:line="520" w:lineRule="exact"/>
        <w:ind w:left="0" w:firstLine="0"/>
        <w:rPr>
          <w:rFonts w:eastAsia="仿宋_GB2312"/>
          <w:sz w:val="28"/>
          <w:szCs w:val="28"/>
        </w:rPr>
      </w:pPr>
      <w:r>
        <w:rPr>
          <w:rFonts w:eastAsia="仿宋_GB2312"/>
          <w:sz w:val="28"/>
          <w:szCs w:val="28"/>
        </w:rPr>
        <w:t>责任</w:t>
      </w:r>
    </w:p>
    <w:p>
      <w:pPr>
        <w:pStyle w:val="95"/>
        <w:spacing w:line="520" w:lineRule="exact"/>
        <w:ind w:firstLine="560"/>
        <w:rPr>
          <w:b w:val="0"/>
          <w:bCs w:val="0"/>
          <w:sz w:val="28"/>
          <w:szCs w:val="28"/>
        </w:rPr>
      </w:pPr>
      <w:r>
        <w:rPr>
          <w:b w:val="0"/>
          <w:bCs w:val="0"/>
          <w:sz w:val="28"/>
          <w:szCs w:val="28"/>
        </w:rPr>
        <w:t>依照《</w:t>
      </w:r>
      <w:r>
        <w:rPr>
          <w:rFonts w:hint="eastAsia"/>
          <w:b w:val="0"/>
          <w:bCs w:val="0"/>
          <w:sz w:val="28"/>
          <w:szCs w:val="28"/>
          <w:lang w:eastAsia="zh-CN"/>
        </w:rPr>
        <w:t>湖北航欧新材料科技有限公司</w:t>
      </w:r>
      <w:r>
        <w:rPr>
          <w:rFonts w:hint="eastAsia"/>
          <w:b w:val="0"/>
          <w:bCs w:val="0"/>
          <w:sz w:val="28"/>
          <w:szCs w:val="28"/>
        </w:rPr>
        <w:t>突发环境事件应急预案</w:t>
      </w:r>
      <w:r>
        <w:rPr>
          <w:b w:val="0"/>
          <w:bCs w:val="0"/>
          <w:sz w:val="28"/>
          <w:szCs w:val="28"/>
        </w:rPr>
        <w:t>》要求对应急处置工作实行行政领导责任制和责任追究制。</w:t>
      </w:r>
    </w:p>
    <w:p>
      <w:pPr>
        <w:pStyle w:val="8"/>
        <w:spacing w:line="520" w:lineRule="exact"/>
        <w:ind w:left="0" w:firstLine="0"/>
        <w:rPr>
          <w:rFonts w:eastAsia="仿宋_GB2312"/>
          <w:sz w:val="28"/>
          <w:szCs w:val="28"/>
        </w:rPr>
      </w:pPr>
      <w:r>
        <w:rPr>
          <w:rFonts w:eastAsia="仿宋_GB2312"/>
          <w:sz w:val="28"/>
          <w:szCs w:val="28"/>
        </w:rPr>
        <w:t>奖励</w:t>
      </w:r>
    </w:p>
    <w:p>
      <w:pPr>
        <w:pStyle w:val="95"/>
        <w:spacing w:line="520" w:lineRule="exact"/>
        <w:ind w:firstLine="560"/>
        <w:rPr>
          <w:b w:val="0"/>
          <w:bCs w:val="0"/>
          <w:sz w:val="28"/>
          <w:szCs w:val="28"/>
        </w:rPr>
      </w:pPr>
      <w:r>
        <w:rPr>
          <w:b w:val="0"/>
          <w:bCs w:val="0"/>
          <w:sz w:val="28"/>
          <w:szCs w:val="28"/>
        </w:rPr>
        <w:t>依照《</w:t>
      </w:r>
      <w:r>
        <w:rPr>
          <w:rFonts w:hint="eastAsia"/>
          <w:b w:val="0"/>
          <w:bCs w:val="0"/>
          <w:sz w:val="28"/>
          <w:szCs w:val="28"/>
          <w:lang w:eastAsia="zh-CN"/>
        </w:rPr>
        <w:t>湖北航欧新材料科技有限公司</w:t>
      </w:r>
      <w:r>
        <w:rPr>
          <w:rFonts w:hint="eastAsia"/>
          <w:b w:val="0"/>
          <w:bCs w:val="0"/>
          <w:sz w:val="28"/>
          <w:szCs w:val="28"/>
        </w:rPr>
        <w:t>突发环境事件应急预案</w:t>
      </w:r>
      <w:r>
        <w:rPr>
          <w:b w:val="0"/>
          <w:bCs w:val="0"/>
          <w:sz w:val="28"/>
          <w:szCs w:val="28"/>
        </w:rPr>
        <w:t>》要求，由公司应急指挥部对在应急管理工作中做出突出贡献的先进集体和个人应给予表彰和奖励。</w:t>
      </w:r>
      <w:r>
        <w:rPr>
          <w:rFonts w:hint="eastAsia"/>
          <w:b w:val="0"/>
          <w:bCs w:val="0"/>
          <w:sz w:val="28"/>
          <w:szCs w:val="28"/>
        </w:rPr>
        <w:t>在突发性环境事故应急工作中，有下列表现之一者，应依据有关规定给予奖励。</w:t>
      </w:r>
    </w:p>
    <w:p>
      <w:pPr>
        <w:pStyle w:val="95"/>
        <w:spacing w:line="520" w:lineRule="exact"/>
        <w:ind w:firstLine="560"/>
        <w:rPr>
          <w:b w:val="0"/>
          <w:bCs w:val="0"/>
          <w:sz w:val="28"/>
          <w:szCs w:val="28"/>
        </w:rPr>
      </w:pPr>
      <w:r>
        <w:rPr>
          <w:rFonts w:hint="eastAsia"/>
          <w:b w:val="0"/>
          <w:bCs w:val="0"/>
          <w:sz w:val="28"/>
          <w:szCs w:val="28"/>
        </w:rPr>
        <w:t>个人：</w:t>
      </w:r>
    </w:p>
    <w:p>
      <w:pPr>
        <w:pStyle w:val="95"/>
        <w:spacing w:line="520" w:lineRule="exact"/>
        <w:ind w:firstLine="560"/>
        <w:rPr>
          <w:b w:val="0"/>
          <w:bCs w:val="0"/>
          <w:sz w:val="28"/>
          <w:szCs w:val="28"/>
        </w:rPr>
      </w:pPr>
      <w:r>
        <w:rPr>
          <w:rFonts w:hint="eastAsia"/>
          <w:b w:val="0"/>
          <w:bCs w:val="0"/>
          <w:sz w:val="28"/>
          <w:szCs w:val="28"/>
        </w:rPr>
        <w:t>（1）及时发现和报告环境事故者；</w:t>
      </w:r>
    </w:p>
    <w:p>
      <w:pPr>
        <w:pStyle w:val="95"/>
        <w:spacing w:line="520" w:lineRule="exact"/>
        <w:ind w:firstLine="560"/>
        <w:rPr>
          <w:b w:val="0"/>
          <w:bCs w:val="0"/>
          <w:sz w:val="28"/>
          <w:szCs w:val="28"/>
        </w:rPr>
      </w:pPr>
      <w:r>
        <w:rPr>
          <w:rFonts w:hint="eastAsia"/>
          <w:b w:val="0"/>
          <w:bCs w:val="0"/>
          <w:sz w:val="28"/>
          <w:szCs w:val="28"/>
        </w:rPr>
        <w:t>（2）在应急救援行动中有突出表现者；</w:t>
      </w:r>
    </w:p>
    <w:p>
      <w:pPr>
        <w:pStyle w:val="95"/>
        <w:spacing w:line="520" w:lineRule="exact"/>
        <w:ind w:firstLine="560"/>
        <w:rPr>
          <w:b w:val="0"/>
          <w:bCs w:val="0"/>
          <w:sz w:val="28"/>
          <w:szCs w:val="28"/>
        </w:rPr>
      </w:pPr>
      <w:r>
        <w:rPr>
          <w:rFonts w:hint="eastAsia"/>
          <w:b w:val="0"/>
          <w:bCs w:val="0"/>
          <w:sz w:val="28"/>
          <w:szCs w:val="28"/>
        </w:rPr>
        <w:t>（3）发现安全隐患和提出解决办法者；</w:t>
      </w:r>
    </w:p>
    <w:p>
      <w:pPr>
        <w:pStyle w:val="95"/>
        <w:spacing w:line="520" w:lineRule="exact"/>
        <w:ind w:firstLine="560"/>
        <w:rPr>
          <w:b w:val="0"/>
          <w:bCs w:val="0"/>
          <w:sz w:val="28"/>
          <w:szCs w:val="28"/>
        </w:rPr>
      </w:pPr>
      <w:r>
        <w:rPr>
          <w:rFonts w:hint="eastAsia"/>
          <w:b w:val="0"/>
          <w:bCs w:val="0"/>
          <w:sz w:val="28"/>
          <w:szCs w:val="28"/>
        </w:rPr>
        <w:t>（4）其他特殊贡献者。</w:t>
      </w:r>
    </w:p>
    <w:p>
      <w:pPr>
        <w:pStyle w:val="95"/>
        <w:spacing w:line="520" w:lineRule="exact"/>
        <w:ind w:firstLine="560"/>
        <w:rPr>
          <w:b w:val="0"/>
          <w:bCs w:val="0"/>
          <w:sz w:val="28"/>
          <w:szCs w:val="28"/>
        </w:rPr>
      </w:pPr>
      <w:r>
        <w:rPr>
          <w:rFonts w:hint="eastAsia"/>
          <w:b w:val="0"/>
          <w:bCs w:val="0"/>
          <w:sz w:val="28"/>
          <w:szCs w:val="28"/>
        </w:rPr>
        <w:t>部门：</w:t>
      </w:r>
    </w:p>
    <w:p>
      <w:pPr>
        <w:pStyle w:val="95"/>
        <w:spacing w:line="520" w:lineRule="exact"/>
        <w:ind w:firstLine="560"/>
        <w:rPr>
          <w:b w:val="0"/>
          <w:bCs w:val="0"/>
          <w:sz w:val="28"/>
          <w:szCs w:val="28"/>
        </w:rPr>
      </w:pPr>
      <w:r>
        <w:rPr>
          <w:rFonts w:hint="eastAsia"/>
          <w:b w:val="0"/>
          <w:bCs w:val="0"/>
          <w:sz w:val="28"/>
          <w:szCs w:val="28"/>
        </w:rPr>
        <w:t>（1）要求时间年限内未发生环境安全事故；</w:t>
      </w:r>
    </w:p>
    <w:p>
      <w:pPr>
        <w:pStyle w:val="95"/>
        <w:spacing w:line="520" w:lineRule="exact"/>
        <w:ind w:firstLine="560"/>
        <w:rPr>
          <w:b w:val="0"/>
          <w:bCs w:val="0"/>
          <w:sz w:val="28"/>
          <w:szCs w:val="28"/>
        </w:rPr>
      </w:pPr>
      <w:r>
        <w:rPr>
          <w:rFonts w:hint="eastAsia"/>
          <w:b w:val="0"/>
          <w:bCs w:val="0"/>
          <w:sz w:val="28"/>
          <w:szCs w:val="28"/>
        </w:rPr>
        <w:t>（2）突发事件中处理、处置得当等。</w:t>
      </w:r>
    </w:p>
    <w:p>
      <w:pPr>
        <w:pStyle w:val="8"/>
        <w:spacing w:line="520" w:lineRule="exact"/>
        <w:ind w:left="0" w:firstLine="0"/>
        <w:rPr>
          <w:rFonts w:eastAsia="仿宋_GB2312"/>
          <w:sz w:val="28"/>
          <w:szCs w:val="28"/>
        </w:rPr>
      </w:pPr>
      <w:r>
        <w:rPr>
          <w:rFonts w:eastAsia="仿宋_GB2312"/>
          <w:sz w:val="28"/>
          <w:szCs w:val="28"/>
        </w:rPr>
        <w:t>惩罚</w:t>
      </w:r>
    </w:p>
    <w:p>
      <w:pPr>
        <w:pStyle w:val="95"/>
        <w:spacing w:line="520" w:lineRule="exact"/>
        <w:ind w:firstLine="560"/>
        <w:rPr>
          <w:b w:val="0"/>
          <w:bCs w:val="0"/>
          <w:sz w:val="28"/>
          <w:szCs w:val="28"/>
        </w:rPr>
      </w:pPr>
      <w:r>
        <w:rPr>
          <w:b w:val="0"/>
          <w:bCs w:val="0"/>
          <w:sz w:val="28"/>
          <w:szCs w:val="28"/>
        </w:rPr>
        <w:t>公司应急指挥部对迟报、谎报、瞒报和漏报重特大突发环境事件的重要情况或应急工作中有其他失职、渎职的行为，应按照相关法律法规和公司管理制度规定对有关责任单位和责任人进行处理；对构成犯罪的，由公司相关部门移交司法机关，依法追究刑事责任。</w:t>
      </w:r>
    </w:p>
    <w:p>
      <w:pPr>
        <w:pStyle w:val="95"/>
        <w:spacing w:line="520" w:lineRule="exact"/>
        <w:ind w:firstLine="560"/>
        <w:rPr>
          <w:b w:val="0"/>
          <w:bCs w:val="0"/>
          <w:sz w:val="28"/>
          <w:szCs w:val="28"/>
        </w:rPr>
      </w:pPr>
      <w:r>
        <w:rPr>
          <w:rFonts w:hint="eastAsia"/>
          <w:b w:val="0"/>
          <w:bCs w:val="0"/>
          <w:sz w:val="28"/>
          <w:szCs w:val="28"/>
        </w:rPr>
        <w:t>在突发环境事件应急工作中，有下列行为之一的，对有关责任人员视情节和造成的后果，依法追究责任。构成犯罪的，由司法机关依法追究刑事责任：</w:t>
      </w:r>
    </w:p>
    <w:p>
      <w:pPr>
        <w:pStyle w:val="95"/>
        <w:spacing w:line="520" w:lineRule="exact"/>
        <w:ind w:firstLine="560"/>
        <w:rPr>
          <w:b w:val="0"/>
          <w:bCs w:val="0"/>
          <w:sz w:val="28"/>
          <w:szCs w:val="28"/>
        </w:rPr>
      </w:pPr>
      <w:r>
        <w:rPr>
          <w:rFonts w:hint="eastAsia"/>
          <w:b w:val="0"/>
          <w:bCs w:val="0"/>
          <w:sz w:val="28"/>
          <w:szCs w:val="28"/>
        </w:rPr>
        <w:t>（1）不认真履行环保法律、法规引发环境事件的；</w:t>
      </w:r>
    </w:p>
    <w:p>
      <w:pPr>
        <w:pStyle w:val="95"/>
        <w:spacing w:line="520" w:lineRule="exact"/>
        <w:ind w:firstLine="560"/>
        <w:rPr>
          <w:b w:val="0"/>
          <w:bCs w:val="0"/>
          <w:sz w:val="28"/>
          <w:szCs w:val="28"/>
        </w:rPr>
      </w:pPr>
      <w:r>
        <w:rPr>
          <w:rFonts w:hint="eastAsia"/>
          <w:b w:val="0"/>
          <w:bCs w:val="0"/>
          <w:sz w:val="28"/>
          <w:szCs w:val="28"/>
        </w:rPr>
        <w:t>（2）不按照规定制定突发环境事件应急预案，拒绝承担突发环境事件应急义务的；</w:t>
      </w:r>
    </w:p>
    <w:p>
      <w:pPr>
        <w:pStyle w:val="95"/>
        <w:spacing w:line="520" w:lineRule="exact"/>
        <w:ind w:firstLine="560"/>
        <w:rPr>
          <w:b w:val="0"/>
          <w:bCs w:val="0"/>
          <w:sz w:val="28"/>
          <w:szCs w:val="28"/>
        </w:rPr>
      </w:pPr>
      <w:r>
        <w:rPr>
          <w:rFonts w:hint="eastAsia"/>
          <w:b w:val="0"/>
          <w:bCs w:val="0"/>
          <w:sz w:val="28"/>
          <w:szCs w:val="28"/>
        </w:rPr>
        <w:t>（3）不按规定报告、通报突发环境事件真实情况的；</w:t>
      </w:r>
    </w:p>
    <w:p>
      <w:pPr>
        <w:pStyle w:val="95"/>
        <w:spacing w:line="520" w:lineRule="exact"/>
        <w:ind w:firstLine="560"/>
        <w:rPr>
          <w:b w:val="0"/>
          <w:bCs w:val="0"/>
          <w:sz w:val="28"/>
          <w:szCs w:val="28"/>
        </w:rPr>
      </w:pPr>
      <w:r>
        <w:rPr>
          <w:rFonts w:hint="eastAsia"/>
          <w:b w:val="0"/>
          <w:bCs w:val="0"/>
          <w:sz w:val="28"/>
          <w:szCs w:val="28"/>
        </w:rPr>
        <w:t>（4）拒不执行突发环境事件应急预案，不服从命令和指挥，或者在事件应急响应时临阵脱逃的；</w:t>
      </w:r>
    </w:p>
    <w:p>
      <w:pPr>
        <w:pStyle w:val="95"/>
        <w:spacing w:line="520" w:lineRule="exact"/>
        <w:ind w:firstLine="560"/>
        <w:rPr>
          <w:b w:val="0"/>
          <w:bCs w:val="0"/>
          <w:sz w:val="28"/>
          <w:szCs w:val="28"/>
        </w:rPr>
      </w:pPr>
      <w:r>
        <w:rPr>
          <w:rFonts w:hint="eastAsia"/>
          <w:b w:val="0"/>
          <w:bCs w:val="0"/>
          <w:sz w:val="28"/>
          <w:szCs w:val="28"/>
        </w:rPr>
        <w:t>（5）盗窃、贪污、挪用突发环境事件应急工作资金、装备和物资的；</w:t>
      </w:r>
    </w:p>
    <w:p>
      <w:pPr>
        <w:pStyle w:val="95"/>
        <w:spacing w:line="520" w:lineRule="exact"/>
        <w:ind w:firstLine="560"/>
        <w:rPr>
          <w:b w:val="0"/>
          <w:bCs w:val="0"/>
          <w:sz w:val="28"/>
          <w:szCs w:val="28"/>
        </w:rPr>
      </w:pPr>
      <w:r>
        <w:rPr>
          <w:rFonts w:hint="eastAsia"/>
          <w:b w:val="0"/>
          <w:bCs w:val="0"/>
          <w:sz w:val="28"/>
          <w:szCs w:val="28"/>
        </w:rPr>
        <w:t>（6）阻碍应急工作人员依法执行公务的；</w:t>
      </w:r>
    </w:p>
    <w:p>
      <w:pPr>
        <w:pStyle w:val="95"/>
        <w:spacing w:line="520" w:lineRule="exact"/>
        <w:ind w:firstLine="560"/>
        <w:rPr>
          <w:b w:val="0"/>
          <w:bCs w:val="0"/>
          <w:sz w:val="28"/>
          <w:szCs w:val="28"/>
        </w:rPr>
      </w:pPr>
      <w:r>
        <w:rPr>
          <w:rFonts w:hint="eastAsia"/>
          <w:b w:val="0"/>
          <w:bCs w:val="0"/>
          <w:sz w:val="28"/>
          <w:szCs w:val="28"/>
        </w:rPr>
        <w:t>（7）散布谣言，扰乱社会秩序的；</w:t>
      </w:r>
    </w:p>
    <w:p>
      <w:pPr>
        <w:pStyle w:val="95"/>
        <w:spacing w:line="520" w:lineRule="exact"/>
        <w:ind w:firstLine="560"/>
        <w:rPr>
          <w:b w:val="0"/>
          <w:bCs w:val="0"/>
          <w:sz w:val="28"/>
          <w:szCs w:val="28"/>
        </w:rPr>
      </w:pPr>
      <w:r>
        <w:rPr>
          <w:rFonts w:hint="eastAsia"/>
          <w:b w:val="0"/>
          <w:bCs w:val="0"/>
          <w:sz w:val="28"/>
          <w:szCs w:val="28"/>
        </w:rPr>
        <w:t>（8）其他对突发环境事件应急工作造成危害的行为等。</w:t>
      </w:r>
    </w:p>
    <w:p>
      <w:pPr>
        <w:pStyle w:val="6"/>
        <w:spacing w:before="0" w:beforeAutospacing="0" w:line="520" w:lineRule="exact"/>
        <w:ind w:left="0" w:firstLine="0"/>
      </w:pPr>
      <w:bookmarkStart w:id="144" w:name="_Toc6459"/>
      <w:r>
        <w:rPr>
          <w:rFonts w:hint="eastAsia"/>
        </w:rPr>
        <w:t>预案的评审、备案、发布</w:t>
      </w:r>
      <w:bookmarkEnd w:id="144"/>
    </w:p>
    <w:p>
      <w:pPr>
        <w:pStyle w:val="95"/>
        <w:spacing w:line="520" w:lineRule="exact"/>
        <w:ind w:firstLine="560"/>
        <w:rPr>
          <w:b w:val="0"/>
          <w:bCs w:val="0"/>
          <w:sz w:val="28"/>
          <w:szCs w:val="28"/>
        </w:rPr>
      </w:pPr>
      <w:r>
        <w:rPr>
          <w:rFonts w:hint="eastAsia"/>
          <w:b w:val="0"/>
          <w:bCs w:val="0"/>
          <w:sz w:val="28"/>
          <w:szCs w:val="28"/>
        </w:rPr>
        <w:t>评审由公司有关领导组织有关部门和人员进行，外部评审是由上级主管部门、环保部门对预案进行评审，预案通过会议讨论，经评审完善后，由公司有关主管领导签署发布，按规定报宜昌市生态环境局</w:t>
      </w:r>
      <w:r>
        <w:rPr>
          <w:rFonts w:hint="eastAsia"/>
          <w:b w:val="0"/>
          <w:bCs w:val="0"/>
          <w:sz w:val="28"/>
          <w:szCs w:val="28"/>
          <w:lang w:eastAsia="zh-CN"/>
        </w:rPr>
        <w:t>远安县</w:t>
      </w:r>
      <w:r>
        <w:rPr>
          <w:rFonts w:hint="eastAsia"/>
          <w:b w:val="0"/>
          <w:bCs w:val="0"/>
          <w:sz w:val="28"/>
          <w:szCs w:val="28"/>
        </w:rPr>
        <w:t>分局备案。</w:t>
      </w:r>
    </w:p>
    <w:p>
      <w:pPr>
        <w:pStyle w:val="95"/>
        <w:spacing w:line="520" w:lineRule="exact"/>
        <w:ind w:firstLine="560"/>
        <w:rPr>
          <w:b w:val="0"/>
          <w:bCs w:val="0"/>
          <w:sz w:val="28"/>
          <w:szCs w:val="28"/>
        </w:rPr>
      </w:pPr>
      <w:r>
        <w:rPr>
          <w:rFonts w:hint="eastAsia"/>
          <w:b w:val="0"/>
          <w:bCs w:val="0"/>
          <w:sz w:val="28"/>
          <w:szCs w:val="28"/>
        </w:rPr>
        <w:t>评审时应注意如下问题：本公司的突发环境事件应急预案是否得到各部门的充分的重视；各管理部门和响应人员是否理解各自的职责；企业的风险有无变化；应急预案是否根据企业的布局和工艺变化而更新；员工是否经过培训；预案中的联系方式是否正确；是否将应急管理融入企业的整体管理中等。</w:t>
      </w:r>
    </w:p>
    <w:p>
      <w:pPr>
        <w:pStyle w:val="95"/>
        <w:spacing w:line="520" w:lineRule="exact"/>
        <w:ind w:firstLine="560"/>
        <w:rPr>
          <w:b w:val="0"/>
          <w:bCs w:val="0"/>
          <w:sz w:val="28"/>
          <w:szCs w:val="28"/>
        </w:rPr>
      </w:pPr>
      <w:r>
        <w:rPr>
          <w:rFonts w:hint="eastAsia"/>
          <w:b w:val="0"/>
          <w:bCs w:val="0"/>
          <w:sz w:val="28"/>
          <w:szCs w:val="28"/>
        </w:rPr>
        <w:t>预案发放时应注意的问题：</w:t>
      </w:r>
    </w:p>
    <w:p>
      <w:pPr>
        <w:pStyle w:val="95"/>
        <w:numPr>
          <w:ilvl w:val="0"/>
          <w:numId w:val="7"/>
        </w:numPr>
        <w:spacing w:line="520" w:lineRule="exact"/>
        <w:ind w:firstLine="560"/>
        <w:rPr>
          <w:b w:val="0"/>
          <w:bCs w:val="0"/>
          <w:sz w:val="28"/>
          <w:szCs w:val="28"/>
        </w:rPr>
      </w:pPr>
      <w:r>
        <w:rPr>
          <w:rFonts w:hint="eastAsia"/>
          <w:b w:val="0"/>
          <w:bCs w:val="0"/>
          <w:sz w:val="28"/>
          <w:szCs w:val="28"/>
        </w:rPr>
        <w:t>公司应急预案经评审后，由总经理签署发布。自发布之日实施。</w:t>
      </w:r>
    </w:p>
    <w:p>
      <w:pPr>
        <w:pStyle w:val="95"/>
        <w:numPr>
          <w:ilvl w:val="0"/>
          <w:numId w:val="7"/>
        </w:numPr>
        <w:spacing w:line="520" w:lineRule="exact"/>
        <w:ind w:firstLine="560"/>
        <w:rPr>
          <w:b w:val="0"/>
          <w:bCs w:val="0"/>
          <w:sz w:val="28"/>
          <w:szCs w:val="28"/>
        </w:rPr>
      </w:pPr>
      <w:r>
        <w:rPr>
          <w:rFonts w:hint="eastAsia"/>
          <w:b w:val="0"/>
          <w:bCs w:val="0"/>
          <w:sz w:val="28"/>
          <w:szCs w:val="28"/>
        </w:rPr>
        <w:t>公司管理部负责对应急预案的统一管理。</w:t>
      </w:r>
    </w:p>
    <w:p>
      <w:pPr>
        <w:pStyle w:val="95"/>
        <w:numPr>
          <w:ilvl w:val="0"/>
          <w:numId w:val="7"/>
        </w:numPr>
        <w:spacing w:line="520" w:lineRule="exact"/>
        <w:ind w:firstLine="560"/>
        <w:rPr>
          <w:b w:val="0"/>
          <w:bCs w:val="0"/>
          <w:sz w:val="28"/>
          <w:szCs w:val="28"/>
        </w:rPr>
      </w:pPr>
      <w:r>
        <w:rPr>
          <w:rFonts w:hint="eastAsia"/>
          <w:b w:val="0"/>
          <w:bCs w:val="0"/>
          <w:sz w:val="28"/>
          <w:szCs w:val="28"/>
        </w:rPr>
        <w:t>档案部负责预案的管理发放，发放应建立发放记录，并及时对已发放预案进行更新，确保各部门获得最新版本的应急预案。</w:t>
      </w:r>
    </w:p>
    <w:p>
      <w:pPr>
        <w:pStyle w:val="95"/>
        <w:numPr>
          <w:ilvl w:val="0"/>
          <w:numId w:val="7"/>
        </w:numPr>
        <w:spacing w:line="520" w:lineRule="exact"/>
        <w:ind w:firstLine="560"/>
        <w:rPr>
          <w:b w:val="0"/>
          <w:bCs w:val="0"/>
          <w:sz w:val="28"/>
          <w:szCs w:val="28"/>
        </w:rPr>
      </w:pPr>
      <w:r>
        <w:rPr>
          <w:rFonts w:hint="eastAsia"/>
          <w:b w:val="0"/>
          <w:bCs w:val="0"/>
          <w:sz w:val="28"/>
          <w:szCs w:val="28"/>
        </w:rPr>
        <w:t>应发放给应急指挥成员和各部门主要负责人。</w:t>
      </w:r>
    </w:p>
    <w:p>
      <w:pPr>
        <w:pStyle w:val="6"/>
        <w:spacing w:before="0" w:beforeAutospacing="0" w:line="520" w:lineRule="exact"/>
        <w:ind w:left="0" w:firstLine="0"/>
      </w:pPr>
      <w:bookmarkStart w:id="145" w:name="_Toc472856725"/>
      <w:bookmarkStart w:id="146" w:name="_Toc16721"/>
      <w:bookmarkStart w:id="147" w:name="_Hlk73920636"/>
      <w:r>
        <w:t>预案修订</w:t>
      </w:r>
      <w:bookmarkEnd w:id="145"/>
      <w:bookmarkEnd w:id="146"/>
    </w:p>
    <w:bookmarkEnd w:id="147"/>
    <w:p>
      <w:pPr>
        <w:pStyle w:val="8"/>
        <w:spacing w:line="520" w:lineRule="exact"/>
        <w:ind w:left="0" w:firstLine="0"/>
        <w:rPr>
          <w:rFonts w:eastAsia="仿宋_GB2312"/>
          <w:sz w:val="28"/>
          <w:szCs w:val="28"/>
        </w:rPr>
      </w:pPr>
      <w:r>
        <w:rPr>
          <w:rFonts w:eastAsia="仿宋_GB2312"/>
          <w:sz w:val="28"/>
          <w:szCs w:val="28"/>
        </w:rPr>
        <w:t>时限要求</w:t>
      </w:r>
    </w:p>
    <w:p>
      <w:pPr>
        <w:pStyle w:val="95"/>
        <w:spacing w:line="520" w:lineRule="exact"/>
        <w:ind w:firstLine="560"/>
        <w:rPr>
          <w:b w:val="0"/>
          <w:bCs w:val="0"/>
          <w:sz w:val="28"/>
          <w:szCs w:val="28"/>
        </w:rPr>
      </w:pPr>
      <w:r>
        <w:rPr>
          <w:b w:val="0"/>
          <w:bCs w:val="0"/>
          <w:sz w:val="28"/>
          <w:szCs w:val="28"/>
        </w:rPr>
        <w:t>针对演练中发现的问题和公司生产变化，预案应及时修订，预案修订间隔不得超过三年。预案修订由公司</w:t>
      </w:r>
      <w:r>
        <w:rPr>
          <w:rFonts w:hint="eastAsia"/>
          <w:b w:val="0"/>
          <w:bCs w:val="0"/>
          <w:sz w:val="28"/>
          <w:szCs w:val="28"/>
        </w:rPr>
        <w:t>总经理</w:t>
      </w:r>
      <w:r>
        <w:rPr>
          <w:b w:val="0"/>
          <w:bCs w:val="0"/>
          <w:sz w:val="28"/>
          <w:szCs w:val="28"/>
        </w:rPr>
        <w:t>组织相关人员进行修订，向公司报批。</w:t>
      </w:r>
    </w:p>
    <w:p>
      <w:pPr>
        <w:pStyle w:val="8"/>
        <w:spacing w:line="520" w:lineRule="exact"/>
        <w:ind w:left="0" w:firstLine="0"/>
        <w:rPr>
          <w:rFonts w:eastAsia="仿宋_GB2312"/>
          <w:sz w:val="28"/>
          <w:szCs w:val="28"/>
        </w:rPr>
      </w:pPr>
      <w:r>
        <w:rPr>
          <w:rFonts w:eastAsia="仿宋_GB2312"/>
          <w:sz w:val="28"/>
          <w:szCs w:val="28"/>
        </w:rPr>
        <w:t>预案修订</w:t>
      </w:r>
    </w:p>
    <w:p>
      <w:pPr>
        <w:pStyle w:val="95"/>
        <w:spacing w:line="520" w:lineRule="exact"/>
        <w:ind w:firstLine="560"/>
        <w:rPr>
          <w:b w:val="0"/>
          <w:bCs w:val="0"/>
          <w:sz w:val="28"/>
          <w:szCs w:val="28"/>
        </w:rPr>
      </w:pPr>
      <w:r>
        <w:rPr>
          <w:b w:val="0"/>
          <w:bCs w:val="0"/>
          <w:sz w:val="28"/>
          <w:szCs w:val="28"/>
        </w:rPr>
        <w:t>企业结合环境应急预案实施情况，至少每三年对环境应急预案进行一次回顾性评估。有下列情形之一的，及时修订：</w:t>
      </w:r>
    </w:p>
    <w:p>
      <w:pPr>
        <w:pStyle w:val="95"/>
        <w:spacing w:line="520" w:lineRule="exact"/>
        <w:ind w:firstLine="560"/>
        <w:rPr>
          <w:b w:val="0"/>
          <w:bCs w:val="0"/>
          <w:sz w:val="28"/>
          <w:szCs w:val="28"/>
        </w:rPr>
      </w:pPr>
      <w:r>
        <w:rPr>
          <w:b w:val="0"/>
          <w:bCs w:val="0"/>
          <w:sz w:val="28"/>
          <w:szCs w:val="28"/>
        </w:rPr>
        <w:t>（1）面临的环境风险发生重大变化，需要重新进行环境风险评估的；</w:t>
      </w:r>
    </w:p>
    <w:p>
      <w:pPr>
        <w:pStyle w:val="95"/>
        <w:spacing w:line="520" w:lineRule="exact"/>
        <w:ind w:firstLine="560"/>
        <w:rPr>
          <w:b w:val="0"/>
          <w:bCs w:val="0"/>
          <w:sz w:val="28"/>
          <w:szCs w:val="28"/>
        </w:rPr>
      </w:pPr>
      <w:r>
        <w:rPr>
          <w:b w:val="0"/>
          <w:bCs w:val="0"/>
          <w:sz w:val="28"/>
          <w:szCs w:val="28"/>
        </w:rPr>
        <w:t>（2）应急管理组织指挥体系与职责发生重大变化的；</w:t>
      </w:r>
    </w:p>
    <w:p>
      <w:pPr>
        <w:pStyle w:val="95"/>
        <w:spacing w:line="520" w:lineRule="exact"/>
        <w:ind w:firstLine="560"/>
        <w:rPr>
          <w:b w:val="0"/>
          <w:bCs w:val="0"/>
          <w:sz w:val="28"/>
          <w:szCs w:val="28"/>
        </w:rPr>
      </w:pPr>
      <w:r>
        <w:rPr>
          <w:b w:val="0"/>
          <w:bCs w:val="0"/>
          <w:sz w:val="28"/>
          <w:szCs w:val="28"/>
        </w:rPr>
        <w:t>（3）环境应急监测预警及报告机制、应对流程和措施、应急保障措施发生重大变化的；</w:t>
      </w:r>
    </w:p>
    <w:p>
      <w:pPr>
        <w:pStyle w:val="95"/>
        <w:spacing w:line="520" w:lineRule="exact"/>
        <w:ind w:firstLine="560"/>
        <w:rPr>
          <w:b w:val="0"/>
          <w:bCs w:val="0"/>
          <w:sz w:val="28"/>
          <w:szCs w:val="28"/>
        </w:rPr>
      </w:pPr>
      <w:r>
        <w:rPr>
          <w:b w:val="0"/>
          <w:bCs w:val="0"/>
          <w:sz w:val="28"/>
          <w:szCs w:val="28"/>
        </w:rPr>
        <w:t>（4）重要应急资源发生重大变化的；</w:t>
      </w:r>
    </w:p>
    <w:p>
      <w:pPr>
        <w:pStyle w:val="95"/>
        <w:spacing w:line="520" w:lineRule="exact"/>
        <w:ind w:firstLine="560"/>
        <w:rPr>
          <w:b w:val="0"/>
          <w:bCs w:val="0"/>
          <w:sz w:val="28"/>
          <w:szCs w:val="28"/>
        </w:rPr>
      </w:pPr>
      <w:r>
        <w:rPr>
          <w:b w:val="0"/>
          <w:bCs w:val="0"/>
          <w:sz w:val="28"/>
          <w:szCs w:val="28"/>
        </w:rPr>
        <w:t>（5）在突发事件实际应对和应急演练中发现问题，需要对环境应急预案作出重大调整的；</w:t>
      </w:r>
    </w:p>
    <w:p>
      <w:pPr>
        <w:pStyle w:val="95"/>
        <w:spacing w:line="520" w:lineRule="exact"/>
        <w:ind w:firstLine="560"/>
        <w:rPr>
          <w:b w:val="0"/>
          <w:bCs w:val="0"/>
          <w:sz w:val="28"/>
          <w:szCs w:val="28"/>
        </w:rPr>
      </w:pPr>
      <w:r>
        <w:rPr>
          <w:b w:val="0"/>
          <w:bCs w:val="0"/>
          <w:sz w:val="28"/>
          <w:szCs w:val="28"/>
        </w:rPr>
        <w:t>（6）其他需要修订的情况。</w:t>
      </w:r>
    </w:p>
    <w:p>
      <w:pPr>
        <w:pStyle w:val="95"/>
        <w:spacing w:line="520" w:lineRule="exact"/>
        <w:ind w:firstLine="560"/>
        <w:rPr>
          <w:b w:val="0"/>
          <w:bCs w:val="0"/>
          <w:sz w:val="28"/>
          <w:szCs w:val="28"/>
        </w:rPr>
      </w:pPr>
      <w:r>
        <w:rPr>
          <w:b w:val="0"/>
          <w:bCs w:val="0"/>
          <w:sz w:val="28"/>
          <w:szCs w:val="28"/>
        </w:rPr>
        <w:t>对环境应急预案进行重大修订的，修订工作参照环境应急预案制定步骤进行。对环境应急预案个别内容进行调整的，修订工作可适当简化。</w:t>
      </w:r>
    </w:p>
    <w:p>
      <w:pPr>
        <w:pStyle w:val="6"/>
        <w:tabs>
          <w:tab w:val="left" w:pos="425"/>
        </w:tabs>
        <w:spacing w:before="0" w:beforeAutospacing="0" w:line="520" w:lineRule="exact"/>
        <w:ind w:left="0" w:firstLine="0"/>
      </w:pPr>
      <w:bookmarkStart w:id="148" w:name="_Toc24665"/>
      <w:r>
        <w:rPr>
          <w:rFonts w:hint="eastAsia"/>
        </w:rPr>
        <w:t>企业差距分析与整改计划</w:t>
      </w:r>
      <w:bookmarkEnd w:id="148"/>
    </w:p>
    <w:p>
      <w:pPr>
        <w:pStyle w:val="95"/>
        <w:spacing w:line="520" w:lineRule="exact"/>
        <w:ind w:firstLine="560"/>
        <w:jc w:val="both"/>
        <w:rPr>
          <w:b w:val="0"/>
          <w:bCs w:val="0"/>
          <w:sz w:val="28"/>
          <w:szCs w:val="28"/>
        </w:rPr>
      </w:pPr>
      <w:r>
        <w:rPr>
          <w:b w:val="0"/>
          <w:bCs w:val="0"/>
          <w:sz w:val="28"/>
          <w:szCs w:val="28"/>
        </w:rPr>
        <w:t>公司针对本次排查出来的每一项差距和隐患，根据其危害性、紧迫性和治理时间的长短，提出需要完成整改的期限，详见下表。</w:t>
      </w:r>
    </w:p>
    <w:p>
      <w:pPr>
        <w:pStyle w:val="32"/>
        <w:spacing w:line="240" w:lineRule="auto"/>
        <w:rPr>
          <w:rFonts w:eastAsia="仿宋"/>
          <w:b w:val="0"/>
          <w:bCs w:val="0"/>
          <w:snapToGrid/>
          <w:kern w:val="2"/>
          <w:sz w:val="28"/>
          <w:szCs w:val="28"/>
        </w:rPr>
      </w:pPr>
      <w:r>
        <w:rPr>
          <w:rFonts w:hint="eastAsia" w:eastAsia="仿宋"/>
          <w:b w:val="0"/>
          <w:bCs w:val="0"/>
          <w:snapToGrid/>
          <w:kern w:val="2"/>
          <w:sz w:val="28"/>
          <w:szCs w:val="28"/>
        </w:rPr>
        <w:t>表10</w:t>
      </w:r>
      <w:r>
        <w:rPr>
          <w:rFonts w:eastAsia="仿宋"/>
          <w:b w:val="0"/>
          <w:bCs w:val="0"/>
          <w:snapToGrid/>
          <w:kern w:val="2"/>
          <w:sz w:val="28"/>
          <w:szCs w:val="28"/>
        </w:rPr>
        <w:t>.</w:t>
      </w:r>
      <w:r>
        <w:rPr>
          <w:rFonts w:hint="eastAsia" w:eastAsia="仿宋"/>
          <w:b w:val="0"/>
          <w:bCs w:val="0"/>
          <w:snapToGrid/>
          <w:kern w:val="2"/>
          <w:sz w:val="28"/>
          <w:szCs w:val="28"/>
        </w:rPr>
        <w:t>6</w:t>
      </w:r>
      <w:r>
        <w:rPr>
          <w:rFonts w:hint="eastAsia" w:eastAsia="仿宋"/>
          <w:b w:val="0"/>
          <w:bCs w:val="0"/>
          <w:snapToGrid/>
          <w:kern w:val="2"/>
          <w:sz w:val="28"/>
          <w:szCs w:val="28"/>
        </w:rPr>
        <w:noBreakHyphen/>
      </w:r>
      <w:r>
        <w:rPr>
          <w:rFonts w:hint="eastAsia" w:eastAsia="仿宋"/>
          <w:b w:val="0"/>
          <w:bCs w:val="0"/>
          <w:snapToGrid/>
          <w:kern w:val="2"/>
          <w:sz w:val="28"/>
          <w:szCs w:val="28"/>
        </w:rPr>
        <w:fldChar w:fldCharType="begin"/>
      </w:r>
      <w:r>
        <w:rPr>
          <w:rFonts w:hint="eastAsia" w:eastAsia="仿宋"/>
          <w:b w:val="0"/>
          <w:bCs w:val="0"/>
          <w:snapToGrid/>
          <w:kern w:val="2"/>
          <w:sz w:val="28"/>
          <w:szCs w:val="28"/>
        </w:rPr>
        <w:instrText xml:space="preserve"> SEQ 表 \* ARABIC \s 2 </w:instrText>
      </w:r>
      <w:r>
        <w:rPr>
          <w:rFonts w:hint="eastAsia" w:eastAsia="仿宋"/>
          <w:b w:val="0"/>
          <w:bCs w:val="0"/>
          <w:snapToGrid/>
          <w:kern w:val="2"/>
          <w:sz w:val="28"/>
          <w:szCs w:val="28"/>
        </w:rPr>
        <w:fldChar w:fldCharType="separate"/>
      </w:r>
      <w:r>
        <w:rPr>
          <w:rFonts w:eastAsia="仿宋"/>
          <w:b w:val="0"/>
          <w:bCs w:val="0"/>
          <w:snapToGrid/>
          <w:kern w:val="2"/>
          <w:sz w:val="28"/>
          <w:szCs w:val="28"/>
        </w:rPr>
        <w:t>1</w:t>
      </w:r>
      <w:r>
        <w:rPr>
          <w:rFonts w:hint="eastAsia" w:eastAsia="仿宋"/>
          <w:b w:val="0"/>
          <w:bCs w:val="0"/>
          <w:snapToGrid/>
          <w:kern w:val="2"/>
          <w:sz w:val="28"/>
          <w:szCs w:val="28"/>
        </w:rPr>
        <w:fldChar w:fldCharType="end"/>
      </w:r>
      <w:r>
        <w:rPr>
          <w:rFonts w:hint="eastAsia" w:eastAsia="仿宋"/>
          <w:b w:val="0"/>
          <w:bCs w:val="0"/>
          <w:snapToGrid/>
          <w:kern w:val="2"/>
          <w:sz w:val="28"/>
          <w:szCs w:val="28"/>
        </w:rPr>
        <w:t xml:space="preserve">  公司需要整改的内容</w:t>
      </w:r>
    </w:p>
    <w:tbl>
      <w:tblPr>
        <w:tblStyle w:val="35"/>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23"/>
        <w:gridCol w:w="6407"/>
        <w:gridCol w:w="139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723" w:type="dxa"/>
            <w:noWrap w:val="0"/>
            <w:vAlign w:val="center"/>
          </w:tcPr>
          <w:p>
            <w:pPr>
              <w:pStyle w:val="95"/>
              <w:ind w:firstLine="0" w:firstLineChars="0"/>
              <w:jc w:val="center"/>
              <w:rPr>
                <w:rFonts w:eastAsia="仿宋"/>
                <w:color w:val="FF0000"/>
                <w:kern w:val="2"/>
                <w:sz w:val="22"/>
              </w:rPr>
            </w:pPr>
            <w:r>
              <w:rPr>
                <w:rFonts w:eastAsia="仿宋"/>
                <w:color w:val="FF0000"/>
                <w:kern w:val="2"/>
                <w:sz w:val="22"/>
              </w:rPr>
              <w:t>序号</w:t>
            </w:r>
          </w:p>
        </w:tc>
        <w:tc>
          <w:tcPr>
            <w:tcW w:w="6407" w:type="dxa"/>
            <w:noWrap w:val="0"/>
            <w:vAlign w:val="center"/>
          </w:tcPr>
          <w:p>
            <w:pPr>
              <w:pStyle w:val="95"/>
              <w:ind w:firstLine="0" w:firstLineChars="0"/>
              <w:jc w:val="center"/>
              <w:rPr>
                <w:rFonts w:eastAsia="仿宋"/>
                <w:color w:val="FF0000"/>
                <w:kern w:val="2"/>
                <w:sz w:val="22"/>
              </w:rPr>
            </w:pPr>
            <w:r>
              <w:rPr>
                <w:rFonts w:eastAsia="仿宋"/>
                <w:color w:val="FF0000"/>
                <w:kern w:val="2"/>
                <w:sz w:val="22"/>
              </w:rPr>
              <w:t>整改内容</w:t>
            </w:r>
          </w:p>
        </w:tc>
        <w:tc>
          <w:tcPr>
            <w:tcW w:w="1392" w:type="dxa"/>
            <w:noWrap w:val="0"/>
            <w:vAlign w:val="center"/>
          </w:tcPr>
          <w:p>
            <w:pPr>
              <w:pStyle w:val="95"/>
              <w:ind w:firstLine="0" w:firstLineChars="0"/>
              <w:jc w:val="center"/>
              <w:rPr>
                <w:rFonts w:eastAsia="仿宋"/>
                <w:color w:val="FF0000"/>
                <w:kern w:val="2"/>
                <w:sz w:val="22"/>
              </w:rPr>
            </w:pPr>
            <w:r>
              <w:rPr>
                <w:rFonts w:eastAsia="仿宋"/>
                <w:color w:val="FF0000"/>
                <w:kern w:val="2"/>
                <w:sz w:val="22"/>
              </w:rPr>
              <w:t>整改期限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23" w:type="dxa"/>
            <w:noWrap w:val="0"/>
            <w:vAlign w:val="center"/>
          </w:tcPr>
          <w:p>
            <w:pPr>
              <w:pStyle w:val="95"/>
              <w:ind w:firstLine="0" w:firstLineChars="0"/>
              <w:jc w:val="center"/>
              <w:rPr>
                <w:rFonts w:hint="eastAsia" w:eastAsia="仿宋"/>
                <w:b w:val="0"/>
                <w:bCs w:val="0"/>
                <w:color w:val="FF0000"/>
                <w:kern w:val="2"/>
                <w:sz w:val="22"/>
                <w:lang w:eastAsia="zh-CN"/>
              </w:rPr>
            </w:pPr>
            <w:r>
              <w:rPr>
                <w:rFonts w:hint="eastAsia" w:eastAsia="仿宋"/>
                <w:b w:val="0"/>
                <w:bCs w:val="0"/>
                <w:color w:val="FF0000"/>
                <w:kern w:val="2"/>
                <w:sz w:val="22"/>
                <w:lang w:val="en-US" w:eastAsia="zh-CN"/>
              </w:rPr>
              <w:t>1</w:t>
            </w:r>
          </w:p>
        </w:tc>
        <w:tc>
          <w:tcPr>
            <w:tcW w:w="6407" w:type="dxa"/>
            <w:noWrap w:val="0"/>
            <w:vAlign w:val="center"/>
          </w:tcPr>
          <w:p>
            <w:pPr>
              <w:pStyle w:val="95"/>
              <w:ind w:firstLine="0" w:firstLineChars="0"/>
              <w:jc w:val="both"/>
              <w:rPr>
                <w:rFonts w:eastAsia="仿宋"/>
                <w:b w:val="0"/>
                <w:bCs w:val="0"/>
                <w:color w:val="FF0000"/>
                <w:kern w:val="2"/>
                <w:sz w:val="22"/>
              </w:rPr>
            </w:pPr>
            <w:r>
              <w:rPr>
                <w:rFonts w:hint="eastAsia" w:eastAsia="仿宋"/>
                <w:b w:val="0"/>
                <w:bCs w:val="0"/>
                <w:color w:val="FF0000"/>
                <w:kern w:val="2"/>
                <w:sz w:val="22"/>
              </w:rPr>
              <w:t>发生火灾事故引发大气次半生灾害，企业无提醒公众紧急疏散的措施和手段，公司用于突发环境事件的应急物资及装备有所欠缺，主要包括：堵漏器具、消除静电设施、应急监测与通信设备等</w:t>
            </w:r>
          </w:p>
        </w:tc>
        <w:tc>
          <w:tcPr>
            <w:tcW w:w="1392" w:type="dxa"/>
            <w:noWrap w:val="0"/>
            <w:vAlign w:val="center"/>
          </w:tcPr>
          <w:p>
            <w:pPr>
              <w:pStyle w:val="95"/>
              <w:ind w:firstLine="0" w:firstLineChars="0"/>
              <w:jc w:val="center"/>
              <w:rPr>
                <w:rFonts w:eastAsia="仿宋"/>
                <w:b w:val="0"/>
                <w:bCs w:val="0"/>
                <w:color w:val="FF0000"/>
                <w:kern w:val="2"/>
                <w:sz w:val="22"/>
              </w:rPr>
            </w:pPr>
            <w:r>
              <w:rPr>
                <w:rFonts w:eastAsia="仿宋"/>
                <w:b w:val="0"/>
                <w:bCs w:val="0"/>
                <w:color w:val="FF0000"/>
                <w:kern w:val="2"/>
                <w:sz w:val="22"/>
              </w:rPr>
              <w:t>短期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23" w:type="dxa"/>
            <w:noWrap w:val="0"/>
            <w:vAlign w:val="center"/>
          </w:tcPr>
          <w:p>
            <w:pPr>
              <w:pStyle w:val="95"/>
              <w:ind w:firstLine="0" w:firstLineChars="0"/>
              <w:jc w:val="center"/>
              <w:rPr>
                <w:rFonts w:hint="eastAsia" w:eastAsia="仿宋"/>
                <w:b w:val="0"/>
                <w:bCs w:val="0"/>
                <w:color w:val="FF0000"/>
                <w:kern w:val="2"/>
                <w:sz w:val="22"/>
                <w:lang w:val="en-US" w:eastAsia="zh-CN"/>
              </w:rPr>
            </w:pPr>
            <w:r>
              <w:rPr>
                <w:rFonts w:hint="eastAsia" w:eastAsia="仿宋"/>
                <w:b w:val="0"/>
                <w:bCs w:val="0"/>
                <w:color w:val="FF0000"/>
                <w:kern w:val="2"/>
                <w:sz w:val="22"/>
                <w:lang w:val="en-US" w:eastAsia="zh-CN"/>
              </w:rPr>
              <w:t>2</w:t>
            </w:r>
          </w:p>
        </w:tc>
        <w:tc>
          <w:tcPr>
            <w:tcW w:w="6407" w:type="dxa"/>
            <w:noWrap w:val="0"/>
            <w:vAlign w:val="center"/>
          </w:tcPr>
          <w:p>
            <w:pPr>
              <w:pStyle w:val="95"/>
              <w:ind w:firstLine="0" w:firstLineChars="0"/>
              <w:jc w:val="both"/>
              <w:rPr>
                <w:rFonts w:hint="eastAsia" w:eastAsia="仿宋"/>
                <w:b w:val="0"/>
                <w:bCs w:val="0"/>
                <w:color w:val="FF0000"/>
                <w:kern w:val="2"/>
                <w:sz w:val="22"/>
                <w:lang w:eastAsia="zh-CN"/>
              </w:rPr>
            </w:pPr>
            <w:r>
              <w:rPr>
                <w:rFonts w:hint="eastAsia" w:eastAsia="仿宋"/>
                <w:b w:val="0"/>
                <w:bCs w:val="0"/>
                <w:color w:val="FF0000"/>
                <w:kern w:val="2"/>
                <w:sz w:val="22"/>
                <w:lang w:eastAsia="zh-CN"/>
              </w:rPr>
              <w:t>液氯车间、甲类车间之间管线安装有阀门，但阀门泄漏管理有所欠缺</w:t>
            </w:r>
          </w:p>
        </w:tc>
        <w:tc>
          <w:tcPr>
            <w:tcW w:w="1392" w:type="dxa"/>
            <w:noWrap w:val="0"/>
            <w:vAlign w:val="center"/>
          </w:tcPr>
          <w:p>
            <w:pPr>
              <w:pStyle w:val="95"/>
              <w:ind w:firstLine="0" w:firstLineChars="0"/>
              <w:jc w:val="center"/>
              <w:rPr>
                <w:rFonts w:hint="eastAsia" w:eastAsia="仿宋"/>
                <w:b w:val="0"/>
                <w:bCs w:val="0"/>
                <w:color w:val="FF0000"/>
                <w:kern w:val="2"/>
                <w:sz w:val="22"/>
                <w:lang w:eastAsia="zh-CN"/>
              </w:rPr>
            </w:pPr>
            <w:r>
              <w:rPr>
                <w:rFonts w:hint="eastAsia" w:eastAsia="仿宋"/>
                <w:b w:val="0"/>
                <w:bCs w:val="0"/>
                <w:color w:val="FF0000"/>
                <w:kern w:val="2"/>
                <w:sz w:val="22"/>
                <w:lang w:eastAsia="zh-CN"/>
              </w:rPr>
              <w:t>短期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23" w:type="dxa"/>
            <w:noWrap w:val="0"/>
            <w:vAlign w:val="center"/>
          </w:tcPr>
          <w:p>
            <w:pPr>
              <w:pStyle w:val="95"/>
              <w:ind w:firstLine="0" w:firstLineChars="0"/>
              <w:jc w:val="center"/>
              <w:rPr>
                <w:rFonts w:hint="eastAsia" w:eastAsia="仿宋"/>
                <w:b w:val="0"/>
                <w:bCs w:val="0"/>
                <w:color w:val="FF0000"/>
                <w:kern w:val="2"/>
                <w:sz w:val="22"/>
                <w:lang w:val="en-US" w:eastAsia="zh-CN"/>
              </w:rPr>
            </w:pPr>
            <w:r>
              <w:rPr>
                <w:rFonts w:hint="eastAsia" w:eastAsia="仿宋"/>
                <w:b w:val="0"/>
                <w:bCs w:val="0"/>
                <w:color w:val="FF0000"/>
                <w:kern w:val="2"/>
                <w:sz w:val="22"/>
                <w:lang w:val="en-US" w:eastAsia="zh-CN"/>
              </w:rPr>
              <w:t>3</w:t>
            </w:r>
          </w:p>
        </w:tc>
        <w:tc>
          <w:tcPr>
            <w:tcW w:w="6407" w:type="dxa"/>
            <w:noWrap w:val="0"/>
            <w:vAlign w:val="center"/>
          </w:tcPr>
          <w:p>
            <w:pPr>
              <w:pStyle w:val="95"/>
              <w:ind w:firstLine="0" w:firstLineChars="0"/>
              <w:jc w:val="both"/>
              <w:rPr>
                <w:rFonts w:hint="eastAsia" w:eastAsia="仿宋"/>
                <w:b w:val="0"/>
                <w:bCs w:val="0"/>
                <w:color w:val="FF0000"/>
                <w:kern w:val="2"/>
                <w:sz w:val="22"/>
                <w:lang w:eastAsia="zh-CN"/>
              </w:rPr>
            </w:pPr>
            <w:r>
              <w:rPr>
                <w:rFonts w:hint="eastAsia" w:eastAsia="仿宋"/>
                <w:b w:val="0"/>
                <w:bCs w:val="0"/>
                <w:color w:val="FF0000"/>
                <w:kern w:val="2"/>
                <w:sz w:val="22"/>
                <w:lang w:eastAsia="zh-CN"/>
              </w:rPr>
              <w:t>液碱储罐为应急专用，管理上有所欠缺；事故水池附近阀门安装位置靠前，需增加阀门</w:t>
            </w:r>
          </w:p>
        </w:tc>
        <w:tc>
          <w:tcPr>
            <w:tcW w:w="1392" w:type="dxa"/>
            <w:noWrap w:val="0"/>
            <w:vAlign w:val="center"/>
          </w:tcPr>
          <w:p>
            <w:pPr>
              <w:pStyle w:val="95"/>
              <w:ind w:firstLine="0" w:firstLineChars="0"/>
              <w:jc w:val="center"/>
              <w:rPr>
                <w:rFonts w:hint="eastAsia" w:eastAsia="仿宋"/>
                <w:b w:val="0"/>
                <w:bCs w:val="0"/>
                <w:color w:val="FF0000"/>
                <w:kern w:val="2"/>
                <w:sz w:val="22"/>
                <w:lang w:eastAsia="zh-CN"/>
              </w:rPr>
            </w:pPr>
            <w:r>
              <w:rPr>
                <w:rFonts w:hint="eastAsia" w:eastAsia="仿宋"/>
                <w:b w:val="0"/>
                <w:bCs w:val="0"/>
                <w:color w:val="FF0000"/>
                <w:kern w:val="2"/>
                <w:sz w:val="22"/>
                <w:lang w:eastAsia="zh-CN"/>
              </w:rPr>
              <w:t>短期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23" w:type="dxa"/>
            <w:noWrap w:val="0"/>
            <w:vAlign w:val="center"/>
          </w:tcPr>
          <w:p>
            <w:pPr>
              <w:pStyle w:val="95"/>
              <w:ind w:firstLine="0" w:firstLineChars="0"/>
              <w:jc w:val="center"/>
              <w:rPr>
                <w:rFonts w:hint="eastAsia" w:eastAsia="仿宋"/>
                <w:b w:val="0"/>
                <w:bCs w:val="0"/>
                <w:color w:val="FF0000"/>
                <w:kern w:val="2"/>
                <w:sz w:val="22"/>
                <w:lang w:eastAsia="zh-CN"/>
              </w:rPr>
            </w:pPr>
            <w:r>
              <w:rPr>
                <w:rFonts w:hint="eastAsia" w:eastAsia="仿宋"/>
                <w:b w:val="0"/>
                <w:bCs w:val="0"/>
                <w:color w:val="FF0000"/>
                <w:kern w:val="2"/>
                <w:sz w:val="22"/>
                <w:lang w:val="en-US" w:eastAsia="zh-CN"/>
              </w:rPr>
              <w:t>4</w:t>
            </w:r>
          </w:p>
        </w:tc>
        <w:tc>
          <w:tcPr>
            <w:tcW w:w="6407" w:type="dxa"/>
            <w:noWrap w:val="0"/>
            <w:vAlign w:val="center"/>
          </w:tcPr>
          <w:p>
            <w:pPr>
              <w:pStyle w:val="95"/>
              <w:ind w:firstLine="0" w:firstLineChars="0"/>
              <w:jc w:val="both"/>
              <w:rPr>
                <w:rFonts w:eastAsia="仿宋"/>
                <w:b w:val="0"/>
                <w:bCs w:val="0"/>
                <w:color w:val="FF0000"/>
                <w:kern w:val="2"/>
                <w:sz w:val="22"/>
              </w:rPr>
            </w:pPr>
            <w:r>
              <w:rPr>
                <w:rFonts w:hint="eastAsia" w:eastAsia="仿宋"/>
                <w:b w:val="0"/>
                <w:bCs w:val="0"/>
                <w:color w:val="FF0000"/>
                <w:kern w:val="2"/>
                <w:sz w:val="22"/>
              </w:rPr>
              <w:t>尚未建设危险废物贮存间和突发环境事件信息报告制度</w:t>
            </w:r>
          </w:p>
        </w:tc>
        <w:tc>
          <w:tcPr>
            <w:tcW w:w="1392" w:type="dxa"/>
            <w:noWrap w:val="0"/>
            <w:vAlign w:val="center"/>
          </w:tcPr>
          <w:p>
            <w:pPr>
              <w:pStyle w:val="95"/>
              <w:ind w:firstLine="0" w:firstLineChars="0"/>
              <w:jc w:val="center"/>
              <w:rPr>
                <w:rFonts w:eastAsia="仿宋"/>
                <w:b w:val="0"/>
                <w:bCs w:val="0"/>
                <w:color w:val="FF0000"/>
                <w:kern w:val="2"/>
                <w:sz w:val="22"/>
              </w:rPr>
            </w:pPr>
            <w:r>
              <w:rPr>
                <w:rFonts w:hint="eastAsia" w:eastAsia="仿宋"/>
                <w:b w:val="0"/>
                <w:bCs w:val="0"/>
                <w:color w:val="FF0000"/>
                <w:kern w:val="2"/>
                <w:sz w:val="22"/>
              </w:rPr>
              <w:t>中</w:t>
            </w:r>
            <w:r>
              <w:rPr>
                <w:rFonts w:eastAsia="仿宋"/>
                <w:b w:val="0"/>
                <w:bCs w:val="0"/>
                <w:color w:val="FF0000"/>
                <w:kern w:val="2"/>
                <w:sz w:val="22"/>
              </w:rPr>
              <w:t>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23" w:type="dxa"/>
            <w:noWrap w:val="0"/>
            <w:vAlign w:val="center"/>
          </w:tcPr>
          <w:p>
            <w:pPr>
              <w:pStyle w:val="95"/>
              <w:ind w:firstLine="0" w:firstLineChars="0"/>
              <w:jc w:val="center"/>
              <w:rPr>
                <w:rFonts w:hint="eastAsia" w:eastAsia="仿宋"/>
                <w:b w:val="0"/>
                <w:bCs w:val="0"/>
                <w:color w:val="FF0000"/>
                <w:kern w:val="2"/>
                <w:sz w:val="22"/>
              </w:rPr>
            </w:pPr>
            <w:r>
              <w:rPr>
                <w:rFonts w:hint="eastAsia" w:eastAsia="仿宋"/>
                <w:b w:val="0"/>
                <w:bCs w:val="0"/>
                <w:color w:val="FF0000"/>
                <w:kern w:val="2"/>
                <w:sz w:val="22"/>
              </w:rPr>
              <w:t>5</w:t>
            </w:r>
          </w:p>
        </w:tc>
        <w:tc>
          <w:tcPr>
            <w:tcW w:w="6407" w:type="dxa"/>
            <w:noWrap w:val="0"/>
            <w:vAlign w:val="center"/>
          </w:tcPr>
          <w:p>
            <w:pPr>
              <w:pStyle w:val="95"/>
              <w:ind w:firstLine="0" w:firstLineChars="0"/>
              <w:jc w:val="both"/>
              <w:rPr>
                <w:rFonts w:hint="eastAsia" w:eastAsia="仿宋"/>
                <w:b w:val="0"/>
                <w:bCs w:val="0"/>
                <w:color w:val="FF0000"/>
                <w:kern w:val="2"/>
                <w:sz w:val="22"/>
              </w:rPr>
            </w:pPr>
            <w:r>
              <w:rPr>
                <w:rFonts w:hint="eastAsia" w:eastAsia="仿宋"/>
                <w:b w:val="0"/>
                <w:bCs w:val="0"/>
                <w:color w:val="FF0000"/>
                <w:kern w:val="2"/>
                <w:sz w:val="22"/>
              </w:rPr>
              <w:t>定期对职工开展环境风险和环境应急管理宣传和培训。没有定期开展安全生产动员大会；未定期组织员工进行专题培训，形式有内部专家培训讲座及外部培训班等</w:t>
            </w:r>
          </w:p>
        </w:tc>
        <w:tc>
          <w:tcPr>
            <w:tcW w:w="1392" w:type="dxa"/>
            <w:noWrap w:val="0"/>
            <w:vAlign w:val="center"/>
          </w:tcPr>
          <w:p>
            <w:pPr>
              <w:pStyle w:val="95"/>
              <w:ind w:firstLine="0" w:firstLineChars="0"/>
              <w:jc w:val="center"/>
              <w:rPr>
                <w:rFonts w:hint="eastAsia" w:eastAsia="仿宋"/>
                <w:b w:val="0"/>
                <w:bCs w:val="0"/>
                <w:color w:val="FF0000"/>
                <w:kern w:val="2"/>
                <w:sz w:val="22"/>
              </w:rPr>
            </w:pPr>
            <w:r>
              <w:rPr>
                <w:rFonts w:hint="eastAsia" w:eastAsia="仿宋"/>
                <w:b w:val="0"/>
                <w:bCs w:val="0"/>
                <w:color w:val="FF0000"/>
                <w:kern w:val="2"/>
                <w:sz w:val="22"/>
              </w:rPr>
              <w:t>长期</w:t>
            </w:r>
          </w:p>
        </w:tc>
      </w:tr>
    </w:tbl>
    <w:p>
      <w:pPr>
        <w:pStyle w:val="101"/>
        <w:rPr>
          <w:rFonts w:eastAsia="仿宋_GB2312"/>
          <w:sz w:val="21"/>
        </w:rPr>
      </w:pPr>
      <w:r>
        <w:rPr>
          <w:rFonts w:eastAsia="仿宋_GB2312"/>
          <w:sz w:val="21"/>
        </w:rPr>
        <w:t>注：短期为3个月以内，中期为3~6个月，长期为6个月以上。</w:t>
      </w:r>
    </w:p>
    <w:p>
      <w:pPr>
        <w:pStyle w:val="95"/>
        <w:ind w:firstLine="0" w:firstLineChars="0"/>
        <w:rPr>
          <w:sz w:val="28"/>
          <w:szCs w:val="28"/>
        </w:rPr>
      </w:pPr>
    </w:p>
    <w:p>
      <w:pPr>
        <w:pStyle w:val="95"/>
        <w:ind w:firstLine="560"/>
        <w:rPr>
          <w:sz w:val="28"/>
          <w:szCs w:val="28"/>
        </w:rPr>
        <w:sectPr>
          <w:pgSz w:w="11906" w:h="16838"/>
          <w:pgMar w:top="1440" w:right="1800" w:bottom="1440" w:left="1800" w:header="1077" w:footer="1191" w:gutter="0"/>
          <w:pgBorders>
            <w:top w:val="none" w:sz="0" w:space="0"/>
            <w:left w:val="none" w:sz="0" w:space="0"/>
            <w:bottom w:val="none" w:sz="0" w:space="0"/>
            <w:right w:val="none" w:sz="0" w:space="0"/>
          </w:pgBorders>
          <w:cols w:space="720" w:num="1"/>
          <w:docGrid w:type="lines" w:linePitch="312" w:charSpace="0"/>
        </w:sectPr>
      </w:pPr>
    </w:p>
    <w:p>
      <w:pPr>
        <w:pStyle w:val="5"/>
        <w:spacing w:beforeLines="0" w:afterLines="0" w:line="520" w:lineRule="exact"/>
        <w:ind w:left="0" w:firstLine="0"/>
      </w:pPr>
      <w:bookmarkStart w:id="149" w:name="_Toc472856726"/>
      <w:bookmarkStart w:id="150" w:name="_Toc13909"/>
      <w:r>
        <w:t>附则</w:t>
      </w:r>
      <w:bookmarkEnd w:id="149"/>
      <w:bookmarkEnd w:id="150"/>
    </w:p>
    <w:p>
      <w:pPr>
        <w:pStyle w:val="6"/>
        <w:spacing w:before="0" w:beforeAutospacing="0" w:line="520" w:lineRule="exact"/>
        <w:ind w:left="0" w:firstLine="0"/>
      </w:pPr>
      <w:bookmarkStart w:id="151" w:name="_Toc472856727"/>
      <w:bookmarkStart w:id="152" w:name="_Toc28758"/>
      <w:r>
        <w:t>名词术语</w:t>
      </w:r>
      <w:bookmarkEnd w:id="151"/>
      <w:bookmarkEnd w:id="152"/>
    </w:p>
    <w:p>
      <w:pPr>
        <w:pStyle w:val="8"/>
        <w:spacing w:line="520" w:lineRule="exact"/>
        <w:ind w:left="0" w:firstLine="0"/>
        <w:rPr>
          <w:rFonts w:eastAsia="仿宋_GB2312"/>
          <w:sz w:val="28"/>
          <w:szCs w:val="28"/>
        </w:rPr>
      </w:pPr>
      <w:r>
        <w:rPr>
          <w:rFonts w:eastAsia="仿宋_GB2312"/>
          <w:sz w:val="28"/>
          <w:szCs w:val="28"/>
        </w:rPr>
        <w:t>环境事件</w:t>
      </w:r>
    </w:p>
    <w:p>
      <w:pPr>
        <w:pStyle w:val="95"/>
        <w:spacing w:line="520" w:lineRule="exact"/>
        <w:ind w:firstLine="560"/>
        <w:rPr>
          <w:b w:val="0"/>
          <w:bCs w:val="0"/>
          <w:i w:val="0"/>
          <w:iCs w:val="0"/>
          <w:sz w:val="28"/>
          <w:szCs w:val="28"/>
        </w:rPr>
      </w:pPr>
      <w:r>
        <w:rPr>
          <w:b w:val="0"/>
          <w:bCs w:val="0"/>
          <w:i w:val="0"/>
          <w:iCs w:val="0"/>
          <w:sz w:val="28"/>
          <w:szCs w:val="28"/>
        </w:rPr>
        <w:t>指由于违反环境保护法律的经济、社会活动与行为，以及由于意外因素的影响或不可抗拒的自然灾害等原因致使环境受到污染，生态系统受到干扰，人体健康受到危害，社会财富受到损失，造成不良社会影响的事件。</w:t>
      </w:r>
    </w:p>
    <w:p>
      <w:pPr>
        <w:pStyle w:val="8"/>
        <w:spacing w:line="520" w:lineRule="exact"/>
        <w:ind w:left="0" w:firstLine="0"/>
        <w:rPr>
          <w:rFonts w:eastAsia="仿宋_GB2312"/>
          <w:sz w:val="28"/>
          <w:szCs w:val="28"/>
        </w:rPr>
      </w:pPr>
      <w:r>
        <w:rPr>
          <w:rFonts w:eastAsia="仿宋_GB2312"/>
          <w:sz w:val="28"/>
          <w:szCs w:val="28"/>
        </w:rPr>
        <w:t>突发环境事件</w:t>
      </w:r>
    </w:p>
    <w:p>
      <w:pPr>
        <w:pStyle w:val="95"/>
        <w:spacing w:line="520" w:lineRule="exact"/>
        <w:ind w:firstLine="560"/>
        <w:rPr>
          <w:b w:val="0"/>
          <w:bCs w:val="0"/>
          <w:sz w:val="28"/>
          <w:szCs w:val="28"/>
        </w:rPr>
      </w:pPr>
      <w:r>
        <w:rPr>
          <w:b w:val="0"/>
          <w:bCs w:val="0"/>
          <w:sz w:val="28"/>
          <w:szCs w:val="28"/>
        </w:rPr>
        <w:t>指突然发生，造成或者可能造成重大人员伤亡、重大财产损失和对全国或者某一地区的经济社会稳定、政治安定构成重大威胁和损害，有重大社会影响的涉及公共安全的环境事件。</w:t>
      </w:r>
    </w:p>
    <w:p>
      <w:pPr>
        <w:pStyle w:val="8"/>
        <w:spacing w:line="520" w:lineRule="exact"/>
        <w:ind w:left="0" w:firstLine="0"/>
        <w:rPr>
          <w:rFonts w:eastAsia="仿宋_GB2312"/>
          <w:sz w:val="28"/>
          <w:szCs w:val="28"/>
        </w:rPr>
      </w:pPr>
      <w:r>
        <w:rPr>
          <w:rFonts w:eastAsia="仿宋_GB2312"/>
          <w:sz w:val="28"/>
          <w:szCs w:val="28"/>
        </w:rPr>
        <w:t>环境应急预案</w:t>
      </w:r>
    </w:p>
    <w:p>
      <w:pPr>
        <w:pStyle w:val="95"/>
        <w:spacing w:line="520" w:lineRule="exact"/>
        <w:ind w:firstLine="560"/>
        <w:rPr>
          <w:b w:val="0"/>
          <w:bCs w:val="0"/>
          <w:sz w:val="28"/>
          <w:szCs w:val="28"/>
        </w:rPr>
      </w:pPr>
      <w:r>
        <w:rPr>
          <w:b w:val="0"/>
          <w:bCs w:val="0"/>
          <w:sz w:val="28"/>
          <w:szCs w:val="28"/>
        </w:rPr>
        <w:t>针对可能发生的环境污染事件，为迅速、有序地开展环境应急行动而预先制定的行动方案。</w:t>
      </w:r>
    </w:p>
    <w:p>
      <w:pPr>
        <w:pStyle w:val="8"/>
        <w:spacing w:line="520" w:lineRule="exact"/>
        <w:ind w:left="0" w:firstLine="0"/>
        <w:rPr>
          <w:rFonts w:eastAsia="仿宋_GB2312"/>
          <w:sz w:val="28"/>
          <w:szCs w:val="28"/>
        </w:rPr>
      </w:pPr>
      <w:r>
        <w:rPr>
          <w:rFonts w:eastAsia="仿宋_GB2312"/>
          <w:sz w:val="28"/>
          <w:szCs w:val="28"/>
        </w:rPr>
        <w:t>危险化学品</w:t>
      </w:r>
    </w:p>
    <w:p>
      <w:pPr>
        <w:pStyle w:val="95"/>
        <w:spacing w:line="520" w:lineRule="exact"/>
        <w:ind w:firstLine="560"/>
        <w:rPr>
          <w:b w:val="0"/>
          <w:bCs w:val="0"/>
          <w:sz w:val="28"/>
          <w:szCs w:val="28"/>
        </w:rPr>
      </w:pPr>
      <w:r>
        <w:rPr>
          <w:b w:val="0"/>
          <w:bCs w:val="0"/>
          <w:sz w:val="28"/>
          <w:szCs w:val="28"/>
        </w:rPr>
        <w:t>危险化学品是指具有毒害、腐蚀、爆炸、燃烧、助燃等性质，对人体、设施、环境具有危害的剧毒化学品和其他化学品。</w:t>
      </w:r>
    </w:p>
    <w:p>
      <w:pPr>
        <w:pStyle w:val="8"/>
        <w:spacing w:line="520" w:lineRule="exact"/>
        <w:ind w:left="0" w:firstLine="0"/>
        <w:rPr>
          <w:rFonts w:eastAsia="仿宋_GB2312"/>
          <w:sz w:val="28"/>
          <w:szCs w:val="28"/>
        </w:rPr>
      </w:pPr>
      <w:r>
        <w:rPr>
          <w:rFonts w:eastAsia="仿宋_GB2312"/>
          <w:sz w:val="28"/>
          <w:szCs w:val="28"/>
        </w:rPr>
        <w:t>应急救援</w:t>
      </w:r>
    </w:p>
    <w:p>
      <w:pPr>
        <w:pStyle w:val="95"/>
        <w:spacing w:line="520" w:lineRule="exact"/>
        <w:ind w:firstLine="560"/>
        <w:rPr>
          <w:b w:val="0"/>
          <w:bCs w:val="0"/>
          <w:sz w:val="28"/>
          <w:szCs w:val="28"/>
        </w:rPr>
      </w:pPr>
      <w:r>
        <w:rPr>
          <w:b w:val="0"/>
          <w:bCs w:val="0"/>
          <w:sz w:val="28"/>
          <w:szCs w:val="28"/>
        </w:rPr>
        <w:t>指突发环境事件发生时，采取的消除、减少事件危害和防止事件恶化，最大限度降低事件损失的措施。</w:t>
      </w:r>
    </w:p>
    <w:p>
      <w:pPr>
        <w:pStyle w:val="8"/>
        <w:spacing w:line="520" w:lineRule="exact"/>
        <w:ind w:left="0" w:firstLine="0"/>
        <w:rPr>
          <w:rFonts w:eastAsia="仿宋_GB2312"/>
          <w:sz w:val="28"/>
          <w:szCs w:val="28"/>
        </w:rPr>
      </w:pPr>
      <w:r>
        <w:rPr>
          <w:rFonts w:hint="eastAsia" w:eastAsia="仿宋_GB2312"/>
          <w:sz w:val="28"/>
          <w:szCs w:val="28"/>
        </w:rPr>
        <w:t>泄漏处理</w:t>
      </w:r>
    </w:p>
    <w:p>
      <w:pPr>
        <w:pStyle w:val="95"/>
        <w:spacing w:line="520" w:lineRule="exact"/>
        <w:ind w:firstLine="560"/>
        <w:jc w:val="both"/>
        <w:rPr>
          <w:b w:val="0"/>
          <w:bCs w:val="0"/>
          <w:sz w:val="28"/>
          <w:szCs w:val="28"/>
        </w:rPr>
      </w:pPr>
      <w:r>
        <w:rPr>
          <w:rFonts w:hint="eastAsia"/>
          <w:b w:val="0"/>
          <w:bCs w:val="0"/>
          <w:sz w:val="28"/>
          <w:szCs w:val="28"/>
        </w:rPr>
        <w:t>指对危险化学品、危险废物、放射性物质、有毒气体等污染源因事件发生泄漏时的所采取的应急处置措施。泄漏处理要及时、得当，避免重大事件的发生。泄漏处理一般分为泄漏源控制和泄漏物处置两部分。</w:t>
      </w:r>
    </w:p>
    <w:p>
      <w:pPr>
        <w:pStyle w:val="8"/>
        <w:spacing w:line="520" w:lineRule="exact"/>
        <w:ind w:left="0" w:firstLine="0"/>
        <w:rPr>
          <w:rFonts w:eastAsia="仿宋_GB2312"/>
          <w:sz w:val="28"/>
          <w:szCs w:val="28"/>
        </w:rPr>
      </w:pPr>
      <w:r>
        <w:rPr>
          <w:rFonts w:hint="eastAsia" w:eastAsia="仿宋_GB2312"/>
          <w:sz w:val="28"/>
          <w:szCs w:val="28"/>
        </w:rPr>
        <w:t>应急监测</w:t>
      </w:r>
    </w:p>
    <w:p>
      <w:pPr>
        <w:pStyle w:val="95"/>
        <w:spacing w:line="520" w:lineRule="exact"/>
        <w:ind w:firstLine="560"/>
        <w:rPr>
          <w:b w:val="0"/>
          <w:bCs w:val="0"/>
          <w:sz w:val="28"/>
          <w:szCs w:val="28"/>
        </w:rPr>
      </w:pPr>
      <w:r>
        <w:rPr>
          <w:rFonts w:hint="eastAsia"/>
          <w:b w:val="0"/>
          <w:bCs w:val="0"/>
          <w:sz w:val="28"/>
          <w:szCs w:val="28"/>
        </w:rPr>
        <w:t>环境应急情况下，为发现和查明环境污染情况和污染范围而进行的环境监测。包括定点监测和动态监测。</w:t>
      </w:r>
    </w:p>
    <w:p>
      <w:pPr>
        <w:pStyle w:val="8"/>
        <w:spacing w:line="520" w:lineRule="exact"/>
        <w:ind w:left="0" w:firstLine="0"/>
        <w:rPr>
          <w:rFonts w:eastAsia="仿宋_GB2312"/>
          <w:sz w:val="28"/>
          <w:szCs w:val="28"/>
        </w:rPr>
      </w:pPr>
      <w:r>
        <w:rPr>
          <w:rFonts w:hint="eastAsia" w:eastAsia="仿宋_GB2312"/>
          <w:sz w:val="28"/>
          <w:szCs w:val="28"/>
        </w:rPr>
        <w:t>应急演练</w:t>
      </w:r>
    </w:p>
    <w:p>
      <w:pPr>
        <w:pStyle w:val="95"/>
        <w:spacing w:line="520" w:lineRule="exact"/>
        <w:ind w:firstLine="560"/>
        <w:jc w:val="both"/>
        <w:rPr>
          <w:b w:val="0"/>
          <w:bCs w:val="0"/>
          <w:sz w:val="28"/>
          <w:szCs w:val="28"/>
        </w:rPr>
      </w:pPr>
      <w:r>
        <w:rPr>
          <w:rFonts w:hint="eastAsia"/>
          <w:b w:val="0"/>
          <w:bCs w:val="0"/>
          <w:sz w:val="28"/>
          <w:szCs w:val="28"/>
        </w:rPr>
        <w:t>为检验应急计划的有效性、应急准备的完善性、应急响应能力的适应性和应急人员的协同性而进行的一种模拟应急响应的实践活动，根据所涉及的内容和范围的不同，可分为单项演练、综合演练和指挥中心、现场应急组织联合进行的联合演练。</w:t>
      </w:r>
    </w:p>
    <w:p>
      <w:pPr>
        <w:pStyle w:val="6"/>
        <w:spacing w:before="0" w:beforeAutospacing="0" w:line="520" w:lineRule="exact"/>
        <w:ind w:left="0" w:firstLine="0"/>
      </w:pPr>
      <w:bookmarkStart w:id="153" w:name="_Toc472856728"/>
      <w:bookmarkStart w:id="154" w:name="_Toc20197"/>
      <w:r>
        <w:t>应急预案备案</w:t>
      </w:r>
      <w:bookmarkEnd w:id="153"/>
      <w:bookmarkEnd w:id="154"/>
    </w:p>
    <w:p>
      <w:pPr>
        <w:pStyle w:val="95"/>
        <w:spacing w:line="520" w:lineRule="exact"/>
        <w:ind w:firstLine="560"/>
        <w:rPr>
          <w:b w:val="0"/>
          <w:bCs w:val="0"/>
          <w:sz w:val="28"/>
          <w:szCs w:val="28"/>
        </w:rPr>
      </w:pPr>
      <w:r>
        <w:rPr>
          <w:b w:val="0"/>
          <w:bCs w:val="0"/>
          <w:sz w:val="28"/>
          <w:szCs w:val="28"/>
        </w:rPr>
        <w:t>按照省环保厅关于转发《企业事业单位突发环境事件应急预案备案管理办法（试行）》的通知和宜昌市生态环境局</w:t>
      </w:r>
      <w:r>
        <w:rPr>
          <w:rFonts w:hint="eastAsia"/>
          <w:b w:val="0"/>
          <w:bCs w:val="0"/>
          <w:sz w:val="28"/>
          <w:szCs w:val="28"/>
          <w:lang w:eastAsia="zh-CN"/>
        </w:rPr>
        <w:t>远安县</w:t>
      </w:r>
      <w:r>
        <w:rPr>
          <w:b w:val="0"/>
          <w:bCs w:val="0"/>
          <w:sz w:val="28"/>
          <w:szCs w:val="28"/>
        </w:rPr>
        <w:t>分局要求，在预案报送备案前组织专家对本预案进行评估。待通过评估后送环保主管部门备案。</w:t>
      </w:r>
    </w:p>
    <w:p>
      <w:pPr>
        <w:pStyle w:val="8"/>
        <w:spacing w:line="520" w:lineRule="exact"/>
        <w:ind w:left="0" w:firstLine="0"/>
        <w:rPr>
          <w:rFonts w:eastAsia="仿宋_GB2312"/>
          <w:sz w:val="28"/>
          <w:szCs w:val="28"/>
        </w:rPr>
      </w:pPr>
      <w:bookmarkStart w:id="155" w:name="_Toc472856729"/>
      <w:r>
        <w:rPr>
          <w:rFonts w:eastAsia="仿宋_GB2312"/>
          <w:sz w:val="28"/>
          <w:szCs w:val="28"/>
        </w:rPr>
        <w:t>预案解释</w:t>
      </w:r>
      <w:bookmarkEnd w:id="155"/>
    </w:p>
    <w:p>
      <w:pPr>
        <w:pStyle w:val="95"/>
        <w:spacing w:line="520" w:lineRule="exact"/>
        <w:ind w:firstLine="560"/>
        <w:rPr>
          <w:b w:val="0"/>
          <w:bCs w:val="0"/>
          <w:sz w:val="28"/>
          <w:szCs w:val="28"/>
        </w:rPr>
      </w:pPr>
      <w:r>
        <w:rPr>
          <w:b w:val="0"/>
          <w:bCs w:val="0"/>
          <w:sz w:val="28"/>
          <w:szCs w:val="28"/>
        </w:rPr>
        <w:t>本预案由</w:t>
      </w:r>
      <w:r>
        <w:rPr>
          <w:rFonts w:hint="eastAsia"/>
          <w:b w:val="0"/>
          <w:bCs w:val="0"/>
          <w:sz w:val="28"/>
          <w:szCs w:val="28"/>
          <w:lang w:eastAsia="zh-CN"/>
        </w:rPr>
        <w:t>湖北航欧新材料科技有限公司</w:t>
      </w:r>
      <w:r>
        <w:rPr>
          <w:b w:val="0"/>
          <w:bCs w:val="0"/>
          <w:sz w:val="28"/>
          <w:szCs w:val="28"/>
        </w:rPr>
        <w:t>总经理签署，并负责解释。</w:t>
      </w:r>
    </w:p>
    <w:p>
      <w:pPr>
        <w:pStyle w:val="8"/>
        <w:spacing w:line="520" w:lineRule="exact"/>
        <w:ind w:left="0" w:firstLine="0"/>
        <w:rPr>
          <w:rFonts w:eastAsia="仿宋_GB2312"/>
          <w:sz w:val="28"/>
          <w:szCs w:val="28"/>
        </w:rPr>
      </w:pPr>
      <w:bookmarkStart w:id="156" w:name="_Toc472856730"/>
      <w:r>
        <w:rPr>
          <w:rFonts w:eastAsia="仿宋_GB2312"/>
          <w:sz w:val="28"/>
          <w:szCs w:val="28"/>
        </w:rPr>
        <w:t>预案实施</w:t>
      </w:r>
      <w:bookmarkEnd w:id="156"/>
    </w:p>
    <w:p>
      <w:pPr>
        <w:pStyle w:val="95"/>
        <w:spacing w:line="520" w:lineRule="exact"/>
        <w:ind w:firstLine="560"/>
        <w:rPr>
          <w:b w:val="0"/>
          <w:bCs w:val="0"/>
          <w:sz w:val="28"/>
          <w:szCs w:val="28"/>
        </w:rPr>
        <w:sectPr>
          <w:pgSz w:w="11906" w:h="16838"/>
          <w:pgMar w:top="1440" w:right="1800" w:bottom="1440" w:left="1800" w:header="1077" w:footer="1191" w:gutter="0"/>
          <w:pgBorders>
            <w:top w:val="none" w:sz="0" w:space="0"/>
            <w:left w:val="none" w:sz="0" w:space="0"/>
            <w:bottom w:val="none" w:sz="0" w:space="0"/>
            <w:right w:val="none" w:sz="0" w:space="0"/>
          </w:pgBorders>
          <w:cols w:space="720" w:num="1"/>
          <w:docGrid w:type="lines" w:linePitch="312" w:charSpace="0"/>
        </w:sectPr>
      </w:pPr>
      <w:r>
        <w:rPr>
          <w:b w:val="0"/>
          <w:bCs w:val="0"/>
          <w:sz w:val="28"/>
          <w:szCs w:val="28"/>
        </w:rPr>
        <w:t>《</w:t>
      </w:r>
      <w:r>
        <w:rPr>
          <w:rFonts w:hint="eastAsia"/>
          <w:b w:val="0"/>
          <w:bCs w:val="0"/>
          <w:sz w:val="28"/>
          <w:szCs w:val="28"/>
          <w:lang w:eastAsia="zh-CN"/>
        </w:rPr>
        <w:t>湖北航欧新材料科技有限公司</w:t>
      </w:r>
      <w:r>
        <w:rPr>
          <w:b w:val="0"/>
          <w:bCs w:val="0"/>
          <w:sz w:val="28"/>
          <w:szCs w:val="28"/>
        </w:rPr>
        <w:t>突发环境事件应急预案》自发布之日起开始实施。</w:t>
      </w:r>
      <w:bookmarkStart w:id="157" w:name="_Toc472856731"/>
    </w:p>
    <w:p>
      <w:pPr>
        <w:pStyle w:val="95"/>
        <w:ind w:firstLine="0" w:firstLineChars="0"/>
        <w:rPr>
          <w:color w:val="FF0000"/>
          <w:sz w:val="28"/>
          <w:szCs w:val="28"/>
        </w:rPr>
      </w:pPr>
    </w:p>
    <w:p>
      <w:pPr>
        <w:pStyle w:val="95"/>
        <w:ind w:firstLine="560"/>
        <w:rPr>
          <w:color w:val="FF0000"/>
          <w:sz w:val="28"/>
          <w:szCs w:val="28"/>
        </w:rPr>
        <w:sectPr>
          <w:type w:val="continuous"/>
          <w:pgSz w:w="11906" w:h="16838"/>
          <w:pgMar w:top="1440" w:right="1800" w:bottom="1440" w:left="1800" w:header="1077" w:footer="1191" w:gutter="0"/>
          <w:pgBorders>
            <w:top w:val="none" w:sz="0" w:space="0"/>
            <w:left w:val="none" w:sz="0" w:space="0"/>
            <w:bottom w:val="none" w:sz="0" w:space="0"/>
            <w:right w:val="none" w:sz="0" w:space="0"/>
          </w:pgBorders>
          <w:cols w:space="720" w:num="1"/>
          <w:docGrid w:type="lines" w:linePitch="312" w:charSpace="0"/>
        </w:sectPr>
      </w:pPr>
    </w:p>
    <w:p>
      <w:pPr>
        <w:pStyle w:val="5"/>
        <w:spacing w:beforeLines="50" w:afterLines="50"/>
        <w:ind w:left="0" w:firstLine="0"/>
      </w:pPr>
      <w:bookmarkStart w:id="158" w:name="_Toc3127"/>
      <w:r>
        <w:t>附件</w:t>
      </w:r>
      <w:bookmarkEnd w:id="158"/>
    </w:p>
    <w:p>
      <w:pPr>
        <w:spacing w:line="520" w:lineRule="exact"/>
        <w:rPr>
          <w:rFonts w:eastAsia="仿宋"/>
          <w:sz w:val="28"/>
          <w:szCs w:val="28"/>
        </w:rPr>
      </w:pP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r>
        <w:rPr>
          <w:rFonts w:eastAsia="仿宋"/>
          <w:sz w:val="28"/>
          <w:szCs w:val="28"/>
        </w:rPr>
        <w:t>附件F1：内部应急救援人员联系方式</w:t>
      </w: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r>
        <w:rPr>
          <w:rFonts w:eastAsia="仿宋"/>
          <w:sz w:val="28"/>
          <w:szCs w:val="28"/>
        </w:rPr>
        <w:t>附件F2：外部应急资源通讯录</w:t>
      </w: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r>
        <w:rPr>
          <w:rFonts w:eastAsia="仿宋"/>
          <w:sz w:val="28"/>
          <w:szCs w:val="28"/>
        </w:rPr>
        <w:t>附件F3：营业执照</w:t>
      </w: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r>
        <w:rPr>
          <w:rFonts w:eastAsia="仿宋"/>
          <w:sz w:val="28"/>
          <w:szCs w:val="28"/>
        </w:rPr>
        <w:t>附件F4：</w:t>
      </w:r>
      <w:r>
        <w:rPr>
          <w:rFonts w:hint="eastAsia" w:eastAsia="仿宋"/>
          <w:sz w:val="28"/>
          <w:szCs w:val="28"/>
        </w:rPr>
        <w:t>选址意见书</w:t>
      </w: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r>
        <w:rPr>
          <w:rFonts w:eastAsia="仿宋"/>
          <w:sz w:val="28"/>
          <w:szCs w:val="28"/>
        </w:rPr>
        <w:t>附件F</w:t>
      </w:r>
      <w:r>
        <w:rPr>
          <w:rFonts w:hint="eastAsia" w:eastAsia="仿宋"/>
          <w:sz w:val="28"/>
          <w:szCs w:val="28"/>
        </w:rPr>
        <w:t>5</w:t>
      </w:r>
      <w:r>
        <w:rPr>
          <w:rFonts w:eastAsia="仿宋"/>
          <w:sz w:val="28"/>
          <w:szCs w:val="28"/>
        </w:rPr>
        <w:t>：企业地理位置</w:t>
      </w: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r>
        <w:rPr>
          <w:rFonts w:eastAsia="仿宋"/>
          <w:sz w:val="28"/>
          <w:szCs w:val="28"/>
        </w:rPr>
        <w:t>附件F</w:t>
      </w:r>
      <w:r>
        <w:rPr>
          <w:rFonts w:hint="eastAsia" w:eastAsia="仿宋"/>
          <w:sz w:val="28"/>
          <w:szCs w:val="28"/>
        </w:rPr>
        <w:t>6</w:t>
      </w:r>
      <w:r>
        <w:rPr>
          <w:rFonts w:eastAsia="仿宋"/>
          <w:sz w:val="28"/>
          <w:szCs w:val="28"/>
        </w:rPr>
        <w:t>：企业周边环境保护目标</w:t>
      </w: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r>
        <w:rPr>
          <w:rFonts w:eastAsia="仿宋"/>
          <w:sz w:val="28"/>
          <w:szCs w:val="28"/>
        </w:rPr>
        <w:t>附件F</w:t>
      </w:r>
      <w:r>
        <w:rPr>
          <w:rFonts w:hint="eastAsia" w:eastAsia="仿宋"/>
          <w:sz w:val="28"/>
          <w:szCs w:val="28"/>
        </w:rPr>
        <w:t>7</w:t>
      </w:r>
      <w:r>
        <w:rPr>
          <w:rFonts w:eastAsia="仿宋"/>
          <w:sz w:val="28"/>
          <w:szCs w:val="28"/>
        </w:rPr>
        <w:t>：企业</w:t>
      </w:r>
      <w:r>
        <w:rPr>
          <w:rFonts w:hint="eastAsia" w:eastAsia="仿宋"/>
          <w:sz w:val="28"/>
          <w:szCs w:val="28"/>
        </w:rPr>
        <w:t>给排水布设</w:t>
      </w:r>
    </w:p>
    <w:p>
      <w:pPr>
        <w:keepNext w:val="0"/>
        <w:keepLines w:val="0"/>
        <w:pageBreakBefore w:val="0"/>
        <w:widowControl w:val="0"/>
        <w:kinsoku/>
        <w:wordWrap/>
        <w:overflowPunct/>
        <w:topLinePunct w:val="0"/>
        <w:autoSpaceDE/>
        <w:autoSpaceDN/>
        <w:bidi w:val="0"/>
        <w:adjustRightInd/>
        <w:snapToGrid/>
        <w:spacing w:line="520" w:lineRule="exact"/>
        <w:rPr>
          <w:rFonts w:eastAsia="仿宋"/>
          <w:color w:val="FF0000"/>
          <w:sz w:val="28"/>
          <w:szCs w:val="28"/>
        </w:rPr>
      </w:pPr>
      <w:r>
        <w:rPr>
          <w:rFonts w:eastAsia="仿宋"/>
          <w:color w:val="FF0000"/>
          <w:sz w:val="28"/>
          <w:szCs w:val="28"/>
        </w:rPr>
        <w:t>附件F</w:t>
      </w:r>
      <w:r>
        <w:rPr>
          <w:rFonts w:hint="eastAsia" w:eastAsia="仿宋"/>
          <w:color w:val="FF0000"/>
          <w:sz w:val="28"/>
          <w:szCs w:val="28"/>
        </w:rPr>
        <w:t>8</w:t>
      </w:r>
      <w:r>
        <w:rPr>
          <w:rFonts w:eastAsia="仿宋"/>
          <w:color w:val="FF0000"/>
          <w:sz w:val="28"/>
          <w:szCs w:val="28"/>
        </w:rPr>
        <w:t>：</w:t>
      </w:r>
      <w:r>
        <w:rPr>
          <w:rFonts w:hint="eastAsia" w:eastAsia="仿宋"/>
          <w:color w:val="FF0000"/>
          <w:sz w:val="28"/>
          <w:szCs w:val="28"/>
        </w:rPr>
        <w:t>企业雨污分流管网、事故废水收集图</w:t>
      </w:r>
    </w:p>
    <w:p>
      <w:pPr>
        <w:keepNext w:val="0"/>
        <w:keepLines w:val="0"/>
        <w:pageBreakBefore w:val="0"/>
        <w:widowControl w:val="0"/>
        <w:kinsoku/>
        <w:wordWrap/>
        <w:overflowPunct/>
        <w:topLinePunct w:val="0"/>
        <w:autoSpaceDE/>
        <w:autoSpaceDN/>
        <w:bidi w:val="0"/>
        <w:adjustRightInd/>
        <w:snapToGrid/>
        <w:spacing w:line="520" w:lineRule="exact"/>
        <w:rPr>
          <w:rFonts w:eastAsia="仿宋"/>
          <w:color w:val="FF0000"/>
          <w:sz w:val="28"/>
          <w:szCs w:val="28"/>
        </w:rPr>
      </w:pPr>
      <w:r>
        <w:rPr>
          <w:rFonts w:eastAsia="仿宋"/>
          <w:color w:val="FF0000"/>
          <w:sz w:val="28"/>
          <w:szCs w:val="28"/>
        </w:rPr>
        <w:t>附件F</w:t>
      </w:r>
      <w:r>
        <w:rPr>
          <w:rFonts w:hint="eastAsia" w:eastAsia="仿宋"/>
          <w:color w:val="FF0000"/>
          <w:sz w:val="28"/>
          <w:szCs w:val="28"/>
          <w:lang w:val="en-US" w:eastAsia="zh-CN"/>
        </w:rPr>
        <w:t>9</w:t>
      </w:r>
      <w:r>
        <w:rPr>
          <w:rFonts w:eastAsia="仿宋"/>
          <w:color w:val="FF0000"/>
          <w:sz w:val="28"/>
          <w:szCs w:val="28"/>
        </w:rPr>
        <w:t>：</w:t>
      </w:r>
      <w:r>
        <w:rPr>
          <w:rFonts w:hint="eastAsia" w:eastAsia="仿宋"/>
          <w:color w:val="FF0000"/>
          <w:sz w:val="28"/>
          <w:szCs w:val="28"/>
        </w:rPr>
        <w:t>企业应急逃生疏散图</w:t>
      </w:r>
    </w:p>
    <w:p>
      <w:pPr>
        <w:keepNext w:val="0"/>
        <w:keepLines w:val="0"/>
        <w:pageBreakBefore w:val="0"/>
        <w:widowControl w:val="0"/>
        <w:kinsoku/>
        <w:wordWrap/>
        <w:overflowPunct/>
        <w:topLinePunct w:val="0"/>
        <w:autoSpaceDE/>
        <w:autoSpaceDN/>
        <w:bidi w:val="0"/>
        <w:adjustRightInd/>
        <w:snapToGrid/>
        <w:spacing w:line="520" w:lineRule="exact"/>
        <w:rPr>
          <w:rFonts w:eastAsia="仿宋"/>
          <w:color w:val="FF0000"/>
          <w:sz w:val="28"/>
          <w:szCs w:val="28"/>
        </w:rPr>
      </w:pPr>
      <w:r>
        <w:rPr>
          <w:rFonts w:eastAsia="仿宋"/>
          <w:color w:val="FF0000"/>
          <w:sz w:val="28"/>
          <w:szCs w:val="28"/>
        </w:rPr>
        <w:t>附件F</w:t>
      </w:r>
      <w:r>
        <w:rPr>
          <w:rFonts w:hint="eastAsia" w:eastAsia="仿宋"/>
          <w:color w:val="FF0000"/>
          <w:sz w:val="28"/>
          <w:szCs w:val="28"/>
          <w:lang w:val="en-US" w:eastAsia="zh-CN"/>
        </w:rPr>
        <w:t>10</w:t>
      </w:r>
      <w:r>
        <w:rPr>
          <w:rFonts w:eastAsia="仿宋"/>
          <w:color w:val="FF0000"/>
          <w:sz w:val="28"/>
          <w:szCs w:val="28"/>
        </w:rPr>
        <w:t>：</w:t>
      </w:r>
      <w:r>
        <w:rPr>
          <w:rFonts w:hint="eastAsia" w:eastAsia="仿宋"/>
          <w:color w:val="FF0000"/>
          <w:sz w:val="28"/>
          <w:szCs w:val="28"/>
        </w:rPr>
        <w:t>企业重要阀门分布图</w:t>
      </w:r>
    </w:p>
    <w:p>
      <w:pPr>
        <w:keepNext w:val="0"/>
        <w:keepLines w:val="0"/>
        <w:pageBreakBefore w:val="0"/>
        <w:widowControl w:val="0"/>
        <w:kinsoku/>
        <w:wordWrap/>
        <w:overflowPunct/>
        <w:topLinePunct w:val="0"/>
        <w:autoSpaceDE/>
        <w:autoSpaceDN/>
        <w:bidi w:val="0"/>
        <w:adjustRightInd/>
        <w:snapToGrid/>
        <w:spacing w:line="520" w:lineRule="exact"/>
        <w:rPr>
          <w:rFonts w:eastAsia="仿宋"/>
          <w:color w:val="FF0000"/>
          <w:sz w:val="28"/>
          <w:szCs w:val="28"/>
        </w:rPr>
      </w:pPr>
      <w:r>
        <w:rPr>
          <w:rFonts w:eastAsia="仿宋"/>
          <w:color w:val="FF0000"/>
          <w:sz w:val="28"/>
          <w:szCs w:val="28"/>
        </w:rPr>
        <w:t>附件F</w:t>
      </w:r>
      <w:r>
        <w:rPr>
          <w:rFonts w:hint="eastAsia" w:eastAsia="仿宋"/>
          <w:color w:val="FF0000"/>
          <w:sz w:val="28"/>
          <w:szCs w:val="28"/>
          <w:lang w:val="en-US" w:eastAsia="zh-CN"/>
        </w:rPr>
        <w:t>11</w:t>
      </w:r>
      <w:r>
        <w:rPr>
          <w:rFonts w:eastAsia="仿宋"/>
          <w:color w:val="FF0000"/>
          <w:sz w:val="28"/>
          <w:szCs w:val="28"/>
        </w:rPr>
        <w:t>：</w:t>
      </w:r>
      <w:r>
        <w:rPr>
          <w:rFonts w:hint="eastAsia" w:eastAsia="仿宋"/>
          <w:color w:val="FF0000"/>
          <w:sz w:val="28"/>
          <w:szCs w:val="28"/>
        </w:rPr>
        <w:t>企业风向标图</w:t>
      </w:r>
    </w:p>
    <w:p>
      <w:pPr>
        <w:keepNext w:val="0"/>
        <w:keepLines w:val="0"/>
        <w:pageBreakBefore w:val="0"/>
        <w:widowControl w:val="0"/>
        <w:kinsoku/>
        <w:wordWrap/>
        <w:overflowPunct/>
        <w:topLinePunct w:val="0"/>
        <w:autoSpaceDE/>
        <w:autoSpaceDN/>
        <w:bidi w:val="0"/>
        <w:adjustRightInd/>
        <w:snapToGrid/>
        <w:spacing w:line="520" w:lineRule="exact"/>
        <w:rPr>
          <w:rFonts w:eastAsia="仿宋"/>
          <w:color w:val="auto"/>
          <w:sz w:val="28"/>
          <w:szCs w:val="28"/>
        </w:rPr>
      </w:pPr>
      <w:r>
        <w:rPr>
          <w:rFonts w:eastAsia="仿宋"/>
          <w:color w:val="auto"/>
          <w:sz w:val="28"/>
          <w:szCs w:val="28"/>
        </w:rPr>
        <w:t>附件F</w:t>
      </w:r>
      <w:r>
        <w:rPr>
          <w:rFonts w:hint="eastAsia" w:eastAsia="仿宋"/>
          <w:color w:val="auto"/>
          <w:sz w:val="28"/>
          <w:szCs w:val="28"/>
          <w:lang w:val="en-US" w:eastAsia="zh-CN"/>
        </w:rPr>
        <w:t>12</w:t>
      </w:r>
      <w:r>
        <w:rPr>
          <w:rFonts w:eastAsia="仿宋"/>
          <w:color w:val="auto"/>
          <w:sz w:val="28"/>
          <w:szCs w:val="28"/>
        </w:rPr>
        <w:t>：企业平面布置</w:t>
      </w: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r>
        <w:rPr>
          <w:rFonts w:eastAsia="仿宋"/>
          <w:sz w:val="28"/>
          <w:szCs w:val="28"/>
        </w:rPr>
        <w:t>附件F</w:t>
      </w:r>
      <w:r>
        <w:rPr>
          <w:rFonts w:hint="eastAsia" w:eastAsia="仿宋"/>
          <w:sz w:val="28"/>
          <w:szCs w:val="28"/>
          <w:lang w:val="en-US" w:eastAsia="zh-CN"/>
        </w:rPr>
        <w:t>13</w:t>
      </w:r>
      <w:r>
        <w:rPr>
          <w:rFonts w:eastAsia="仿宋"/>
          <w:sz w:val="28"/>
          <w:szCs w:val="28"/>
        </w:rPr>
        <w:t>：企业分区防渗</w:t>
      </w: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r>
        <w:rPr>
          <w:rFonts w:eastAsia="仿宋"/>
          <w:sz w:val="28"/>
          <w:szCs w:val="28"/>
        </w:rPr>
        <w:t>附件F1</w:t>
      </w:r>
      <w:r>
        <w:rPr>
          <w:rFonts w:hint="eastAsia" w:eastAsia="仿宋"/>
          <w:sz w:val="28"/>
          <w:szCs w:val="28"/>
          <w:lang w:val="en-US" w:eastAsia="zh-CN"/>
        </w:rPr>
        <w:t>4</w:t>
      </w:r>
      <w:r>
        <w:rPr>
          <w:rFonts w:eastAsia="仿宋"/>
          <w:sz w:val="28"/>
          <w:szCs w:val="28"/>
        </w:rPr>
        <w:t>：主要化学品理化性质情况</w:t>
      </w: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r>
        <w:rPr>
          <w:rFonts w:eastAsia="仿宋"/>
          <w:sz w:val="28"/>
          <w:szCs w:val="28"/>
        </w:rPr>
        <w:t>附件F1</w:t>
      </w:r>
      <w:r>
        <w:rPr>
          <w:rFonts w:hint="eastAsia" w:eastAsia="仿宋"/>
          <w:sz w:val="28"/>
          <w:szCs w:val="28"/>
          <w:lang w:val="en-US" w:eastAsia="zh-CN"/>
        </w:rPr>
        <w:t>5</w:t>
      </w:r>
      <w:r>
        <w:rPr>
          <w:rFonts w:eastAsia="仿宋"/>
          <w:sz w:val="28"/>
          <w:szCs w:val="28"/>
        </w:rPr>
        <w:t>：危险废物协议</w:t>
      </w: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bookmarkStart w:id="159" w:name="_Hlk99741180"/>
      <w:r>
        <w:rPr>
          <w:rFonts w:eastAsia="仿宋"/>
          <w:sz w:val="28"/>
          <w:szCs w:val="28"/>
        </w:rPr>
        <w:t>附件F1</w:t>
      </w:r>
      <w:r>
        <w:rPr>
          <w:rFonts w:hint="eastAsia" w:eastAsia="仿宋"/>
          <w:sz w:val="28"/>
          <w:szCs w:val="28"/>
          <w:lang w:val="en-US" w:eastAsia="zh-CN"/>
        </w:rPr>
        <w:t>6</w:t>
      </w:r>
      <w:r>
        <w:rPr>
          <w:rFonts w:eastAsia="仿宋"/>
          <w:sz w:val="28"/>
          <w:szCs w:val="28"/>
        </w:rPr>
        <w:t>：罐区泄露应急处置卡</w:t>
      </w: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r>
        <w:rPr>
          <w:rFonts w:eastAsia="仿宋"/>
          <w:sz w:val="28"/>
          <w:szCs w:val="28"/>
        </w:rPr>
        <w:t>附件F1</w:t>
      </w:r>
      <w:r>
        <w:rPr>
          <w:rFonts w:hint="eastAsia" w:eastAsia="仿宋"/>
          <w:sz w:val="28"/>
          <w:szCs w:val="28"/>
          <w:lang w:val="en-US" w:eastAsia="zh-CN"/>
        </w:rPr>
        <w:t>7</w:t>
      </w:r>
      <w:r>
        <w:rPr>
          <w:rFonts w:eastAsia="仿宋"/>
          <w:sz w:val="28"/>
          <w:szCs w:val="28"/>
        </w:rPr>
        <w:t>：现场火灾应急处置卡</w:t>
      </w:r>
    </w:p>
    <w:p>
      <w:pPr>
        <w:keepNext w:val="0"/>
        <w:keepLines w:val="0"/>
        <w:pageBreakBefore w:val="0"/>
        <w:widowControl w:val="0"/>
        <w:kinsoku/>
        <w:wordWrap/>
        <w:overflowPunct/>
        <w:topLinePunct w:val="0"/>
        <w:autoSpaceDE/>
        <w:autoSpaceDN/>
        <w:bidi w:val="0"/>
        <w:adjustRightInd/>
        <w:snapToGrid/>
        <w:spacing w:line="520" w:lineRule="exact"/>
        <w:rPr>
          <w:rFonts w:hint="eastAsia" w:ascii="Times New Roman" w:hAnsi="Times New Roman" w:eastAsia="仿宋" w:cs="Times New Roman"/>
          <w:color w:val="FF0000"/>
          <w:sz w:val="28"/>
          <w:szCs w:val="28"/>
        </w:rPr>
      </w:pPr>
      <w:r>
        <w:rPr>
          <w:rFonts w:ascii="Times New Roman" w:hAnsi="Times New Roman" w:eastAsia="仿宋" w:cs="Times New Roman"/>
          <w:color w:val="FF0000"/>
          <w:sz w:val="28"/>
          <w:szCs w:val="28"/>
        </w:rPr>
        <w:t>附件F1</w:t>
      </w:r>
      <w:r>
        <w:rPr>
          <w:rFonts w:hint="eastAsia" w:ascii="Times New Roman" w:hAnsi="Times New Roman" w:eastAsia="仿宋" w:cs="Times New Roman"/>
          <w:color w:val="FF0000"/>
          <w:sz w:val="28"/>
          <w:szCs w:val="28"/>
          <w:lang w:val="en-US" w:eastAsia="zh-CN"/>
        </w:rPr>
        <w:t>8</w:t>
      </w:r>
      <w:r>
        <w:rPr>
          <w:rFonts w:ascii="Times New Roman" w:hAnsi="Times New Roman" w:eastAsia="仿宋" w:cs="Times New Roman"/>
          <w:color w:val="FF0000"/>
          <w:sz w:val="28"/>
          <w:szCs w:val="28"/>
        </w:rPr>
        <w:t>：</w:t>
      </w:r>
      <w:r>
        <w:rPr>
          <w:rFonts w:hint="eastAsia" w:ascii="Times New Roman" w:hAnsi="Times New Roman" w:eastAsia="仿宋" w:cs="Times New Roman"/>
          <w:color w:val="FF0000"/>
          <w:sz w:val="28"/>
          <w:szCs w:val="28"/>
        </w:rPr>
        <w:t>湖北航欧新材料科技有限公司</w:t>
      </w:r>
      <w:r>
        <w:rPr>
          <w:rFonts w:hint="eastAsia" w:ascii="Times New Roman" w:hAnsi="Times New Roman" w:eastAsia="仿宋" w:cs="Times New Roman"/>
          <w:color w:val="FF0000"/>
          <w:sz w:val="28"/>
          <w:szCs w:val="28"/>
          <w:lang w:eastAsia="zh-CN"/>
        </w:rPr>
        <w:t>各</w:t>
      </w:r>
      <w:r>
        <w:rPr>
          <w:rFonts w:hint="eastAsia" w:ascii="Times New Roman" w:hAnsi="Times New Roman" w:eastAsia="仿宋" w:cs="Times New Roman"/>
          <w:color w:val="FF0000"/>
          <w:sz w:val="28"/>
          <w:szCs w:val="28"/>
        </w:rPr>
        <w:t>岗位应急处置卡</w:t>
      </w: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r>
        <w:rPr>
          <w:rFonts w:eastAsia="仿宋"/>
          <w:sz w:val="28"/>
          <w:szCs w:val="28"/>
        </w:rPr>
        <w:t>附件F1</w:t>
      </w:r>
      <w:r>
        <w:rPr>
          <w:rFonts w:hint="eastAsia" w:eastAsia="仿宋"/>
          <w:sz w:val="28"/>
          <w:szCs w:val="28"/>
          <w:lang w:val="en-US" w:eastAsia="zh-CN"/>
        </w:rPr>
        <w:t>9</w:t>
      </w:r>
      <w:r>
        <w:rPr>
          <w:rFonts w:eastAsia="仿宋"/>
          <w:sz w:val="28"/>
          <w:szCs w:val="28"/>
        </w:rPr>
        <w:t>：突发环境事件信息报告（格式）表</w:t>
      </w: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r>
        <w:rPr>
          <w:rFonts w:eastAsia="仿宋"/>
          <w:sz w:val="28"/>
          <w:szCs w:val="28"/>
        </w:rPr>
        <w:t>附件F</w:t>
      </w:r>
      <w:r>
        <w:rPr>
          <w:rFonts w:hint="eastAsia" w:eastAsia="仿宋"/>
          <w:sz w:val="28"/>
          <w:szCs w:val="28"/>
          <w:lang w:val="en-US" w:eastAsia="zh-CN"/>
        </w:rPr>
        <w:t>20</w:t>
      </w:r>
      <w:r>
        <w:rPr>
          <w:rFonts w:eastAsia="仿宋"/>
          <w:sz w:val="28"/>
          <w:szCs w:val="28"/>
        </w:rPr>
        <w:t>：应急预案启动令（格式）</w:t>
      </w: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r>
        <w:rPr>
          <w:rFonts w:eastAsia="仿宋"/>
          <w:sz w:val="28"/>
          <w:szCs w:val="28"/>
        </w:rPr>
        <w:t>附件F</w:t>
      </w:r>
      <w:r>
        <w:rPr>
          <w:rFonts w:hint="eastAsia" w:eastAsia="仿宋"/>
          <w:sz w:val="28"/>
          <w:szCs w:val="28"/>
          <w:lang w:val="en-US" w:eastAsia="zh-CN"/>
        </w:rPr>
        <w:t>21</w:t>
      </w:r>
      <w:r>
        <w:rPr>
          <w:rFonts w:eastAsia="仿宋"/>
          <w:sz w:val="28"/>
          <w:szCs w:val="28"/>
        </w:rPr>
        <w:t>：应急预案启终止令（格式）</w:t>
      </w:r>
    </w:p>
    <w:p>
      <w:pPr>
        <w:keepNext w:val="0"/>
        <w:keepLines w:val="0"/>
        <w:pageBreakBefore w:val="0"/>
        <w:widowControl w:val="0"/>
        <w:kinsoku/>
        <w:wordWrap/>
        <w:overflowPunct/>
        <w:topLinePunct w:val="0"/>
        <w:autoSpaceDE/>
        <w:autoSpaceDN/>
        <w:bidi w:val="0"/>
        <w:adjustRightInd/>
        <w:snapToGrid/>
        <w:spacing w:line="520" w:lineRule="exact"/>
        <w:rPr>
          <w:rFonts w:hint="eastAsia" w:eastAsia="仿宋"/>
          <w:color w:val="FF0000"/>
          <w:sz w:val="28"/>
          <w:szCs w:val="28"/>
          <w:lang w:eastAsia="zh-CN"/>
        </w:rPr>
      </w:pPr>
      <w:r>
        <w:rPr>
          <w:rFonts w:eastAsia="仿宋"/>
          <w:color w:val="FF0000"/>
          <w:sz w:val="28"/>
          <w:szCs w:val="28"/>
        </w:rPr>
        <w:t>附件F</w:t>
      </w:r>
      <w:r>
        <w:rPr>
          <w:rFonts w:hint="eastAsia" w:eastAsia="仿宋"/>
          <w:color w:val="FF0000"/>
          <w:sz w:val="28"/>
          <w:szCs w:val="28"/>
          <w:lang w:val="en-US" w:eastAsia="zh-CN"/>
        </w:rPr>
        <w:t>22</w:t>
      </w:r>
      <w:r>
        <w:rPr>
          <w:rFonts w:eastAsia="仿宋"/>
          <w:color w:val="FF0000"/>
          <w:sz w:val="28"/>
          <w:szCs w:val="28"/>
        </w:rPr>
        <w:t>：应急培训</w:t>
      </w:r>
      <w:r>
        <w:rPr>
          <w:rFonts w:hint="eastAsia" w:eastAsia="仿宋"/>
          <w:color w:val="FF0000"/>
          <w:sz w:val="28"/>
          <w:szCs w:val="28"/>
          <w:lang w:eastAsia="zh-CN"/>
        </w:rPr>
        <w:t>计划</w:t>
      </w: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r>
        <w:rPr>
          <w:rFonts w:eastAsia="仿宋"/>
          <w:sz w:val="28"/>
          <w:szCs w:val="28"/>
        </w:rPr>
        <w:t>附件F</w:t>
      </w:r>
      <w:r>
        <w:rPr>
          <w:rFonts w:hint="eastAsia" w:eastAsia="仿宋"/>
          <w:sz w:val="28"/>
          <w:szCs w:val="28"/>
          <w:lang w:val="en-US" w:eastAsia="zh-CN"/>
        </w:rPr>
        <w:t>23</w:t>
      </w:r>
      <w:r>
        <w:rPr>
          <w:rFonts w:eastAsia="仿宋"/>
          <w:sz w:val="28"/>
          <w:szCs w:val="28"/>
        </w:rPr>
        <w:t>：应急预案培训表</w:t>
      </w:r>
    </w:p>
    <w:p>
      <w:pPr>
        <w:keepNext w:val="0"/>
        <w:keepLines w:val="0"/>
        <w:pageBreakBefore w:val="0"/>
        <w:widowControl w:val="0"/>
        <w:kinsoku/>
        <w:wordWrap/>
        <w:overflowPunct/>
        <w:topLinePunct w:val="0"/>
        <w:autoSpaceDE/>
        <w:autoSpaceDN/>
        <w:bidi w:val="0"/>
        <w:adjustRightInd/>
        <w:snapToGrid/>
        <w:spacing w:line="520" w:lineRule="exact"/>
        <w:rPr>
          <w:rFonts w:hint="eastAsia" w:eastAsia="仿宋"/>
          <w:color w:val="FF0000"/>
          <w:sz w:val="28"/>
          <w:szCs w:val="28"/>
          <w:lang w:eastAsia="zh-CN"/>
        </w:rPr>
      </w:pPr>
      <w:r>
        <w:rPr>
          <w:rFonts w:eastAsia="仿宋"/>
          <w:color w:val="FF0000"/>
          <w:sz w:val="28"/>
          <w:szCs w:val="28"/>
        </w:rPr>
        <w:t>附件F</w:t>
      </w:r>
      <w:r>
        <w:rPr>
          <w:rFonts w:hint="eastAsia" w:eastAsia="仿宋"/>
          <w:color w:val="FF0000"/>
          <w:sz w:val="28"/>
          <w:szCs w:val="28"/>
          <w:lang w:val="en-US" w:eastAsia="zh-CN"/>
        </w:rPr>
        <w:t>24</w:t>
      </w:r>
      <w:r>
        <w:rPr>
          <w:rFonts w:eastAsia="仿宋"/>
          <w:color w:val="FF0000"/>
          <w:sz w:val="28"/>
          <w:szCs w:val="28"/>
        </w:rPr>
        <w:t>：</w:t>
      </w:r>
      <w:r>
        <w:rPr>
          <w:rFonts w:hint="eastAsia" w:eastAsia="仿宋"/>
          <w:color w:val="FF0000"/>
          <w:sz w:val="28"/>
          <w:szCs w:val="28"/>
        </w:rPr>
        <w:t>应急演练</w:t>
      </w:r>
      <w:r>
        <w:rPr>
          <w:rFonts w:hint="eastAsia" w:eastAsia="仿宋"/>
          <w:color w:val="FF0000"/>
          <w:sz w:val="28"/>
          <w:szCs w:val="28"/>
          <w:lang w:eastAsia="zh-CN"/>
        </w:rPr>
        <w:t>计划</w:t>
      </w:r>
    </w:p>
    <w:p>
      <w:pPr>
        <w:keepNext w:val="0"/>
        <w:keepLines w:val="0"/>
        <w:pageBreakBefore w:val="0"/>
        <w:widowControl w:val="0"/>
        <w:kinsoku/>
        <w:wordWrap/>
        <w:overflowPunct/>
        <w:topLinePunct w:val="0"/>
        <w:autoSpaceDE/>
        <w:autoSpaceDN/>
        <w:bidi w:val="0"/>
        <w:adjustRightInd/>
        <w:snapToGrid/>
        <w:spacing w:line="520" w:lineRule="exact"/>
        <w:rPr>
          <w:rFonts w:eastAsia="仿宋"/>
          <w:sz w:val="28"/>
          <w:szCs w:val="28"/>
        </w:rPr>
      </w:pPr>
      <w:r>
        <w:rPr>
          <w:rFonts w:eastAsia="仿宋"/>
          <w:sz w:val="28"/>
          <w:szCs w:val="28"/>
        </w:rPr>
        <w:t>附件F</w:t>
      </w:r>
      <w:r>
        <w:rPr>
          <w:rFonts w:hint="eastAsia" w:eastAsia="仿宋"/>
          <w:sz w:val="28"/>
          <w:szCs w:val="28"/>
          <w:lang w:val="en-US" w:eastAsia="zh-CN"/>
        </w:rPr>
        <w:t>25</w:t>
      </w:r>
      <w:r>
        <w:rPr>
          <w:rFonts w:eastAsia="仿宋"/>
          <w:sz w:val="28"/>
          <w:szCs w:val="28"/>
        </w:rPr>
        <w:t>：</w:t>
      </w:r>
      <w:r>
        <w:rPr>
          <w:rFonts w:hint="eastAsia" w:eastAsia="仿宋"/>
          <w:sz w:val="28"/>
          <w:szCs w:val="28"/>
        </w:rPr>
        <w:t>应急演练记录</w:t>
      </w:r>
      <w:r>
        <w:rPr>
          <w:rFonts w:eastAsia="仿宋"/>
          <w:sz w:val="28"/>
          <w:szCs w:val="28"/>
        </w:rPr>
        <w:t>表</w:t>
      </w:r>
    </w:p>
    <w:p>
      <w:pPr>
        <w:pStyle w:val="2"/>
        <w:keepNext w:val="0"/>
        <w:keepLines w:val="0"/>
        <w:pageBreakBefore w:val="0"/>
        <w:widowControl w:val="0"/>
        <w:kinsoku/>
        <w:wordWrap/>
        <w:overflowPunct/>
        <w:topLinePunct w:val="0"/>
        <w:autoSpaceDE/>
        <w:autoSpaceDN/>
        <w:bidi w:val="0"/>
        <w:adjustRightInd/>
        <w:snapToGrid/>
        <w:spacing w:line="520" w:lineRule="exact"/>
        <w:ind w:left="0" w:leftChars="0" w:firstLine="0" w:firstLineChars="0"/>
        <w:rPr>
          <w:rFonts w:hint="eastAsia" w:ascii="Times New Roman" w:hAnsi="Times New Roman" w:eastAsia="仿宋" w:cs="Times New Roman"/>
          <w:color w:val="FF0000"/>
          <w:kern w:val="2"/>
          <w:sz w:val="28"/>
          <w:szCs w:val="28"/>
          <w:lang w:val="en-US" w:eastAsia="zh-CN" w:bidi="ar-SA"/>
        </w:rPr>
      </w:pPr>
      <w:r>
        <w:rPr>
          <w:rFonts w:ascii="Times New Roman" w:hAnsi="Times New Roman" w:eastAsia="仿宋" w:cs="Times New Roman"/>
          <w:color w:val="FF0000"/>
          <w:kern w:val="2"/>
          <w:sz w:val="28"/>
          <w:szCs w:val="28"/>
          <w:lang w:val="en-US" w:eastAsia="zh-CN" w:bidi="ar-SA"/>
        </w:rPr>
        <w:t>附件F</w:t>
      </w:r>
      <w:r>
        <w:rPr>
          <w:rFonts w:hint="eastAsia" w:ascii="Times New Roman" w:hAnsi="Times New Roman" w:eastAsia="仿宋" w:cs="Times New Roman"/>
          <w:color w:val="FF0000"/>
          <w:kern w:val="2"/>
          <w:sz w:val="28"/>
          <w:szCs w:val="28"/>
          <w:lang w:val="en-US" w:eastAsia="zh-CN" w:bidi="ar-SA"/>
        </w:rPr>
        <w:t>26</w:t>
      </w:r>
      <w:r>
        <w:rPr>
          <w:rFonts w:ascii="Times New Roman" w:hAnsi="Times New Roman" w:eastAsia="仿宋" w:cs="Times New Roman"/>
          <w:color w:val="FF0000"/>
          <w:kern w:val="2"/>
          <w:sz w:val="28"/>
          <w:szCs w:val="28"/>
          <w:lang w:val="en-US" w:eastAsia="zh-CN" w:bidi="ar-SA"/>
        </w:rPr>
        <w:t>：</w:t>
      </w:r>
      <w:r>
        <w:rPr>
          <w:rFonts w:hint="eastAsia" w:ascii="Times New Roman" w:hAnsi="Times New Roman" w:eastAsia="仿宋" w:cs="Times New Roman"/>
          <w:color w:val="FF0000"/>
          <w:kern w:val="2"/>
          <w:sz w:val="28"/>
          <w:szCs w:val="28"/>
          <w:lang w:val="en-US" w:eastAsia="zh-CN" w:bidi="ar-SA"/>
        </w:rPr>
        <w:t>应急监测协议</w:t>
      </w:r>
    </w:p>
    <w:p>
      <w:pPr>
        <w:pStyle w:val="2"/>
        <w:keepNext w:val="0"/>
        <w:keepLines w:val="0"/>
        <w:pageBreakBefore w:val="0"/>
        <w:widowControl w:val="0"/>
        <w:kinsoku/>
        <w:wordWrap/>
        <w:overflowPunct/>
        <w:topLinePunct w:val="0"/>
        <w:autoSpaceDE/>
        <w:autoSpaceDN/>
        <w:bidi w:val="0"/>
        <w:adjustRightInd/>
        <w:snapToGrid/>
        <w:spacing w:line="520" w:lineRule="exact"/>
        <w:ind w:left="0" w:leftChars="0" w:firstLine="0" w:firstLineChars="0"/>
        <w:rPr>
          <w:rFonts w:hint="eastAsia" w:ascii="Times New Roman" w:hAnsi="Times New Roman" w:eastAsia="仿宋" w:cs="Times New Roman"/>
          <w:color w:val="FF0000"/>
          <w:kern w:val="2"/>
          <w:sz w:val="28"/>
          <w:szCs w:val="28"/>
          <w:lang w:val="en-US" w:eastAsia="zh-CN" w:bidi="ar-SA"/>
        </w:rPr>
      </w:pPr>
      <w:r>
        <w:rPr>
          <w:rFonts w:ascii="Times New Roman" w:hAnsi="Times New Roman" w:eastAsia="仿宋" w:cs="Times New Roman"/>
          <w:color w:val="FF0000"/>
          <w:kern w:val="2"/>
          <w:sz w:val="28"/>
          <w:szCs w:val="28"/>
          <w:lang w:val="en-US" w:eastAsia="zh-CN" w:bidi="ar-SA"/>
        </w:rPr>
        <w:t>附件F</w:t>
      </w:r>
      <w:r>
        <w:rPr>
          <w:rFonts w:hint="eastAsia" w:ascii="Times New Roman" w:hAnsi="Times New Roman" w:eastAsia="仿宋" w:cs="Times New Roman"/>
          <w:color w:val="FF0000"/>
          <w:kern w:val="2"/>
          <w:sz w:val="28"/>
          <w:szCs w:val="28"/>
          <w:lang w:val="en-US" w:eastAsia="zh-CN" w:bidi="ar-SA"/>
        </w:rPr>
        <w:t>27</w:t>
      </w:r>
      <w:r>
        <w:rPr>
          <w:rFonts w:ascii="Times New Roman" w:hAnsi="Times New Roman" w:eastAsia="仿宋" w:cs="Times New Roman"/>
          <w:color w:val="FF0000"/>
          <w:kern w:val="2"/>
          <w:sz w:val="28"/>
          <w:szCs w:val="28"/>
          <w:lang w:val="en-US" w:eastAsia="zh-CN" w:bidi="ar-SA"/>
        </w:rPr>
        <w:t>：</w:t>
      </w:r>
      <w:r>
        <w:rPr>
          <w:rFonts w:hint="eastAsia" w:ascii="Times New Roman" w:hAnsi="Times New Roman" w:eastAsia="仿宋" w:cs="Times New Roman"/>
          <w:color w:val="FF0000"/>
          <w:kern w:val="2"/>
          <w:sz w:val="28"/>
          <w:szCs w:val="28"/>
          <w:lang w:val="en-US" w:eastAsia="zh-CN" w:bidi="ar-SA"/>
        </w:rPr>
        <w:t>应急预案征求意见表</w:t>
      </w:r>
    </w:p>
    <w:bookmarkEnd w:id="159"/>
    <w:p>
      <w:pPr>
        <w:rPr>
          <w:rFonts w:eastAsia="仿宋"/>
          <w:sz w:val="28"/>
          <w:szCs w:val="28"/>
        </w:rPr>
      </w:pPr>
      <w:r>
        <w:rPr>
          <w:color w:val="FF0000"/>
          <w:sz w:val="28"/>
          <w:szCs w:val="28"/>
        </w:rPr>
        <w:br w:type="page"/>
      </w:r>
      <w:r>
        <w:rPr>
          <w:rFonts w:eastAsia="仿宋"/>
          <w:sz w:val="28"/>
          <w:szCs w:val="28"/>
        </w:rPr>
        <w:t>附件F1：内部应急救援人员联系方式</w:t>
      </w:r>
    </w:p>
    <w:p>
      <w:pPr>
        <w:spacing w:line="360" w:lineRule="auto"/>
        <w:jc w:val="center"/>
        <w:rPr>
          <w:rFonts w:eastAsia="仿宋"/>
          <w:color w:val="FF0000"/>
          <w:kern w:val="0"/>
          <w:sz w:val="28"/>
          <w:szCs w:val="28"/>
        </w:rPr>
      </w:pPr>
      <w:r>
        <w:rPr>
          <w:rFonts w:eastAsia="仿宋"/>
          <w:kern w:val="0"/>
          <w:sz w:val="28"/>
          <w:szCs w:val="28"/>
        </w:rPr>
        <w:t>公司</w:t>
      </w:r>
      <w:r>
        <w:rPr>
          <w:rFonts w:hint="eastAsia" w:eastAsia="仿宋"/>
          <w:kern w:val="0"/>
          <w:sz w:val="28"/>
          <w:szCs w:val="28"/>
        </w:rPr>
        <w:t>内部应急救援人员联系方式</w:t>
      </w:r>
    </w:p>
    <w:tbl>
      <w:tblPr>
        <w:tblStyle w:val="35"/>
        <w:tblW w:w="4998" w:type="pct"/>
        <w:jc w:val="center"/>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0" w:type="dxa"/>
          <w:bottom w:w="0" w:type="dxa"/>
          <w:right w:w="0" w:type="dxa"/>
        </w:tblCellMar>
      </w:tblPr>
      <w:tblGrid>
        <w:gridCol w:w="754"/>
        <w:gridCol w:w="1681"/>
        <w:gridCol w:w="1335"/>
        <w:gridCol w:w="1216"/>
        <w:gridCol w:w="2082"/>
        <w:gridCol w:w="1451"/>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tblHeader/>
          <w:jc w:val="center"/>
        </w:trPr>
        <w:tc>
          <w:tcPr>
            <w:tcW w:w="442"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b/>
                <w:bCs/>
                <w:color w:val="auto"/>
                <w:kern w:val="0"/>
                <w:sz w:val="21"/>
                <w:szCs w:val="21"/>
              </w:rPr>
            </w:pPr>
            <w:r>
              <w:rPr>
                <w:rFonts w:hint="default" w:ascii="Times New Roman" w:hAnsi="Times New Roman" w:eastAsia="仿宋" w:cs="Times New Roman"/>
                <w:b/>
                <w:bCs/>
                <w:color w:val="auto"/>
                <w:kern w:val="0"/>
                <w:sz w:val="21"/>
                <w:szCs w:val="21"/>
              </w:rPr>
              <w:t>序号</w:t>
            </w:r>
          </w:p>
        </w:tc>
        <w:tc>
          <w:tcPr>
            <w:tcW w:w="986"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b/>
                <w:bCs/>
                <w:color w:val="auto"/>
                <w:kern w:val="0"/>
                <w:sz w:val="21"/>
                <w:szCs w:val="21"/>
              </w:rPr>
            </w:pPr>
            <w:r>
              <w:rPr>
                <w:rFonts w:hint="default" w:ascii="Times New Roman" w:hAnsi="Times New Roman" w:eastAsia="仿宋" w:cs="Times New Roman"/>
                <w:b/>
                <w:bCs/>
                <w:color w:val="auto"/>
                <w:kern w:val="0"/>
                <w:sz w:val="21"/>
                <w:szCs w:val="21"/>
              </w:rPr>
              <w:t>应急单位</w:t>
            </w: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b/>
                <w:bCs/>
                <w:color w:val="auto"/>
                <w:kern w:val="0"/>
                <w:sz w:val="21"/>
                <w:szCs w:val="21"/>
              </w:rPr>
            </w:pPr>
            <w:r>
              <w:rPr>
                <w:rFonts w:hint="default" w:ascii="Times New Roman" w:hAnsi="Times New Roman" w:eastAsia="仿宋" w:cs="Times New Roman"/>
                <w:b/>
                <w:bCs/>
                <w:color w:val="auto"/>
                <w:kern w:val="0"/>
                <w:sz w:val="21"/>
                <w:szCs w:val="21"/>
              </w:rPr>
              <w:t>应急职务</w:t>
            </w:r>
          </w:p>
        </w:tc>
        <w:tc>
          <w:tcPr>
            <w:tcW w:w="71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b/>
                <w:bCs/>
                <w:color w:val="auto"/>
                <w:kern w:val="0"/>
                <w:sz w:val="21"/>
                <w:szCs w:val="21"/>
              </w:rPr>
            </w:pPr>
            <w:r>
              <w:rPr>
                <w:rFonts w:hint="default" w:ascii="Times New Roman" w:hAnsi="Times New Roman" w:eastAsia="仿宋" w:cs="Times New Roman"/>
                <w:b/>
                <w:bCs/>
                <w:color w:val="auto"/>
                <w:kern w:val="0"/>
                <w:sz w:val="21"/>
                <w:szCs w:val="21"/>
              </w:rPr>
              <w:t>姓 名</w:t>
            </w:r>
          </w:p>
        </w:tc>
        <w:tc>
          <w:tcPr>
            <w:tcW w:w="122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b/>
                <w:bCs/>
                <w:color w:val="auto"/>
                <w:kern w:val="0"/>
                <w:sz w:val="21"/>
                <w:szCs w:val="21"/>
              </w:rPr>
            </w:pPr>
            <w:r>
              <w:rPr>
                <w:rFonts w:hint="default" w:ascii="Times New Roman" w:hAnsi="Times New Roman" w:eastAsia="仿宋" w:cs="Times New Roman"/>
                <w:b/>
                <w:bCs/>
                <w:color w:val="auto"/>
                <w:kern w:val="0"/>
                <w:sz w:val="21"/>
                <w:szCs w:val="21"/>
              </w:rPr>
              <w:t>行政职务</w:t>
            </w:r>
          </w:p>
        </w:tc>
        <w:tc>
          <w:tcPr>
            <w:tcW w:w="85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b/>
                <w:bCs/>
                <w:color w:val="auto"/>
                <w:kern w:val="0"/>
                <w:sz w:val="21"/>
                <w:szCs w:val="21"/>
              </w:rPr>
            </w:pPr>
            <w:r>
              <w:rPr>
                <w:rFonts w:hint="default" w:ascii="Times New Roman" w:hAnsi="Times New Roman" w:eastAsia="仿宋" w:cs="Times New Roman"/>
                <w:b/>
                <w:bCs/>
                <w:color w:val="auto"/>
                <w:kern w:val="0"/>
                <w:sz w:val="21"/>
                <w:szCs w:val="21"/>
              </w:rPr>
              <w:t>联络电话</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restar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eastAsia="zh-TW"/>
              </w:rPr>
            </w:pPr>
            <w:r>
              <w:rPr>
                <w:rFonts w:hint="default" w:ascii="Times New Roman" w:hAnsi="Times New Roman" w:eastAsia="仿宋" w:cs="Times New Roman"/>
                <w:color w:val="auto"/>
                <w:kern w:val="0"/>
                <w:sz w:val="21"/>
                <w:szCs w:val="21"/>
              </w:rPr>
              <w:t>1</w:t>
            </w:r>
          </w:p>
        </w:tc>
        <w:tc>
          <w:tcPr>
            <w:tcW w:w="986" w:type="pct"/>
            <w:vMerge w:val="restar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应急指挥</w:t>
            </w: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总指挥</w:t>
            </w:r>
          </w:p>
        </w:tc>
        <w:tc>
          <w:tcPr>
            <w:tcW w:w="71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仿宋" w:cs="Times New Roman"/>
                <w:color w:val="auto"/>
                <w:kern w:val="0"/>
                <w:sz w:val="21"/>
                <w:szCs w:val="21"/>
                <w:lang w:eastAsia="zh-CN"/>
              </w:rPr>
            </w:pPr>
            <w:r>
              <w:rPr>
                <w:rFonts w:hint="eastAsia" w:ascii="Times New Roman" w:hAnsi="Times New Roman" w:eastAsia="仿宋" w:cs="Times New Roman"/>
                <w:color w:val="auto"/>
                <w:kern w:val="0"/>
                <w:sz w:val="21"/>
                <w:szCs w:val="21"/>
                <w:lang w:eastAsia="zh-CN"/>
              </w:rPr>
              <w:t>况庆雷</w:t>
            </w:r>
          </w:p>
        </w:tc>
        <w:tc>
          <w:tcPr>
            <w:tcW w:w="122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lang w:val="en-US" w:eastAsia="zh-CN"/>
              </w:rPr>
              <w:t>主要负责人</w:t>
            </w:r>
            <w:r>
              <w:rPr>
                <w:rFonts w:hint="eastAsia" w:eastAsia="仿宋" w:cs="Times New Roman"/>
                <w:color w:val="auto"/>
                <w:kern w:val="0"/>
                <w:sz w:val="21"/>
                <w:szCs w:val="21"/>
                <w:lang w:val="en-US" w:eastAsia="zh-CN"/>
              </w:rPr>
              <w:t>、</w:t>
            </w:r>
            <w:r>
              <w:rPr>
                <w:rFonts w:hint="default" w:ascii="Times New Roman" w:hAnsi="Times New Roman" w:eastAsia="仿宋" w:cs="Times New Roman"/>
                <w:color w:val="auto"/>
                <w:kern w:val="0"/>
                <w:sz w:val="21"/>
                <w:szCs w:val="21"/>
                <w:lang w:val="en-US" w:eastAsia="zh-CN"/>
              </w:rPr>
              <w:t xml:space="preserve">总经理                                                 </w:t>
            </w:r>
          </w:p>
        </w:tc>
        <w:tc>
          <w:tcPr>
            <w:tcW w:w="85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continue"/>
            <w:tcBorders>
              <w:tl2br w:val="nil"/>
              <w:tr2bl w:val="nil"/>
            </w:tcBorders>
            <w:noWrap w:val="0"/>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p>
        </w:tc>
        <w:tc>
          <w:tcPr>
            <w:tcW w:w="986" w:type="pct"/>
            <w:vMerge w:val="continue"/>
            <w:tcBorders>
              <w:tl2br w:val="nil"/>
              <w:tr2bl w:val="nil"/>
            </w:tcBorders>
            <w:noWrap w:val="0"/>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 w:val="21"/>
                <w:szCs w:val="21"/>
              </w:rPr>
              <w:t>副总指挥</w:t>
            </w:r>
          </w:p>
        </w:tc>
        <w:tc>
          <w:tcPr>
            <w:tcW w:w="71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eastAsia="zh-CN"/>
              </w:rPr>
            </w:pPr>
            <w:r>
              <w:rPr>
                <w:rFonts w:hint="eastAsia" w:ascii="Times New Roman" w:hAnsi="Times New Roman" w:eastAsia="仿宋" w:cs="Times New Roman"/>
                <w:color w:val="auto"/>
                <w:kern w:val="0"/>
                <w:sz w:val="21"/>
                <w:szCs w:val="21"/>
              </w:rPr>
              <w:t>孟涛</w:t>
            </w:r>
          </w:p>
        </w:tc>
        <w:tc>
          <w:tcPr>
            <w:tcW w:w="122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仿宋" w:cs="Times New Roman"/>
                <w:color w:val="auto"/>
                <w:kern w:val="0"/>
                <w:sz w:val="21"/>
                <w:szCs w:val="21"/>
                <w:lang w:val="en-US" w:eastAsia="zh-CN"/>
              </w:rPr>
            </w:pPr>
            <w:r>
              <w:rPr>
                <w:rFonts w:hint="eastAsia" w:eastAsia="仿宋" w:cs="Times New Roman"/>
                <w:color w:val="auto"/>
                <w:kern w:val="0"/>
                <w:sz w:val="21"/>
                <w:szCs w:val="21"/>
                <w:lang w:val="en-US" w:eastAsia="zh-CN"/>
              </w:rPr>
              <w:t>安全总监</w:t>
            </w:r>
          </w:p>
        </w:tc>
        <w:tc>
          <w:tcPr>
            <w:tcW w:w="85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restar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仿宋" w:cs="Times New Roman"/>
                <w:color w:val="auto"/>
                <w:kern w:val="0"/>
                <w:sz w:val="21"/>
                <w:szCs w:val="21"/>
                <w:lang w:eastAsia="zh-CN"/>
              </w:rPr>
            </w:pPr>
            <w:r>
              <w:rPr>
                <w:rFonts w:hint="eastAsia" w:ascii="Times New Roman" w:hAnsi="Times New Roman" w:eastAsia="仿宋" w:cs="Times New Roman"/>
                <w:color w:val="auto"/>
                <w:kern w:val="0"/>
                <w:sz w:val="21"/>
                <w:szCs w:val="21"/>
                <w:lang w:val="en-US" w:eastAsia="zh-CN"/>
              </w:rPr>
              <w:t>2</w:t>
            </w:r>
          </w:p>
        </w:tc>
        <w:tc>
          <w:tcPr>
            <w:tcW w:w="986" w:type="pct"/>
            <w:vMerge w:val="restart"/>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仿宋" w:cs="Times New Roman"/>
                <w:color w:val="auto"/>
                <w:kern w:val="0"/>
                <w:sz w:val="21"/>
                <w:szCs w:val="21"/>
                <w:lang w:eastAsia="zh-CN"/>
              </w:rPr>
            </w:pPr>
            <w:r>
              <w:rPr>
                <w:rFonts w:hint="eastAsia" w:ascii="Times New Roman" w:hAnsi="Times New Roman" w:eastAsia="仿宋" w:cs="Times New Roman"/>
                <w:color w:val="auto"/>
                <w:kern w:val="0"/>
                <w:sz w:val="21"/>
                <w:szCs w:val="21"/>
                <w:lang w:eastAsia="zh-CN"/>
              </w:rPr>
              <w:t>抢险救援</w:t>
            </w: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组长</w:t>
            </w:r>
          </w:p>
        </w:tc>
        <w:tc>
          <w:tcPr>
            <w:tcW w:w="713"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rPr>
            </w:pPr>
            <w:r>
              <w:rPr>
                <w:rFonts w:hint="eastAsia" w:ascii="Times New Roman" w:hAnsi="Times New Roman" w:eastAsia="仿宋" w:cs="Times New Roman"/>
                <w:color w:val="auto"/>
                <w:kern w:val="0"/>
                <w:szCs w:val="21"/>
                <w:lang w:val="en-US" w:eastAsia="zh-CN"/>
              </w:rPr>
              <w:t>刘雪辉</w:t>
            </w:r>
          </w:p>
        </w:tc>
        <w:tc>
          <w:tcPr>
            <w:tcW w:w="122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rPr>
            </w:pPr>
            <w:r>
              <w:rPr>
                <w:rFonts w:hint="eastAsia" w:eastAsia="仿宋" w:cs="Times New Roman"/>
                <w:color w:val="auto"/>
                <w:kern w:val="0"/>
                <w:szCs w:val="21"/>
                <w:lang w:val="en-US" w:eastAsia="zh-CN"/>
              </w:rPr>
              <w:t>生产总监</w:t>
            </w:r>
          </w:p>
        </w:tc>
        <w:tc>
          <w:tcPr>
            <w:tcW w:w="85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sz w:val="21"/>
                <w:szCs w:val="21"/>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p>
        </w:tc>
        <w:tc>
          <w:tcPr>
            <w:tcW w:w="986"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rPr>
              <w:t>队员</w:t>
            </w:r>
          </w:p>
        </w:tc>
        <w:tc>
          <w:tcPr>
            <w:tcW w:w="71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仿宋" w:cs="Times New Roman"/>
                <w:color w:val="auto"/>
                <w:kern w:val="0"/>
                <w:sz w:val="21"/>
                <w:szCs w:val="21"/>
                <w:lang w:eastAsia="zh-CN"/>
              </w:rPr>
            </w:pPr>
            <w:r>
              <w:rPr>
                <w:rFonts w:hint="eastAsia" w:ascii="Times New Roman" w:hAnsi="Times New Roman" w:eastAsia="仿宋" w:cs="Times New Roman"/>
                <w:color w:val="auto"/>
                <w:kern w:val="0"/>
                <w:sz w:val="21"/>
                <w:szCs w:val="21"/>
                <w:lang w:eastAsia="zh-CN"/>
              </w:rPr>
              <w:t>杨洪灯</w:t>
            </w:r>
          </w:p>
        </w:tc>
        <w:tc>
          <w:tcPr>
            <w:tcW w:w="122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rPr>
            </w:pPr>
            <w:r>
              <w:rPr>
                <w:rFonts w:hint="eastAsia" w:ascii="Times New Roman" w:hAnsi="Times New Roman" w:eastAsia="仿宋" w:cs="Times New Roman"/>
                <w:color w:val="auto"/>
                <w:kern w:val="0"/>
                <w:sz w:val="21"/>
                <w:szCs w:val="21"/>
                <w:lang w:val="en-US" w:eastAsia="zh-CN"/>
              </w:rPr>
              <w:t>班长</w:t>
            </w:r>
          </w:p>
        </w:tc>
        <w:tc>
          <w:tcPr>
            <w:tcW w:w="85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sz w:val="21"/>
                <w:szCs w:val="21"/>
                <w:lang w:val="en-US" w:eastAsia="zh-CN"/>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p>
        </w:tc>
        <w:tc>
          <w:tcPr>
            <w:tcW w:w="986"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rPr>
              <w:t>队员</w:t>
            </w:r>
          </w:p>
        </w:tc>
        <w:tc>
          <w:tcPr>
            <w:tcW w:w="71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rPr>
            </w:pPr>
            <w:r>
              <w:rPr>
                <w:rFonts w:hint="eastAsia" w:ascii="Times New Roman" w:hAnsi="Times New Roman" w:eastAsia="仿宋" w:cs="Times New Roman"/>
                <w:color w:val="auto"/>
                <w:kern w:val="0"/>
                <w:sz w:val="21"/>
                <w:szCs w:val="21"/>
                <w:lang w:val="en-US" w:eastAsia="zh-CN"/>
              </w:rPr>
              <w:t>李自武</w:t>
            </w:r>
          </w:p>
        </w:tc>
        <w:tc>
          <w:tcPr>
            <w:tcW w:w="122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rPr>
            </w:pPr>
            <w:r>
              <w:rPr>
                <w:rFonts w:hint="eastAsia" w:ascii="Times New Roman" w:hAnsi="Times New Roman" w:eastAsia="仿宋" w:cs="Times New Roman"/>
                <w:color w:val="auto"/>
                <w:kern w:val="0"/>
                <w:sz w:val="21"/>
                <w:szCs w:val="21"/>
                <w:lang w:val="en-US" w:eastAsia="zh-CN"/>
              </w:rPr>
              <w:t>班长</w:t>
            </w:r>
          </w:p>
        </w:tc>
        <w:tc>
          <w:tcPr>
            <w:tcW w:w="85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sz w:val="21"/>
                <w:szCs w:val="21"/>
                <w:lang w:val="en-US" w:eastAsia="zh-CN"/>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p>
        </w:tc>
        <w:tc>
          <w:tcPr>
            <w:tcW w:w="986"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仿宋" w:cs="Times New Roman"/>
                <w:color w:val="auto"/>
                <w:kern w:val="0"/>
                <w:sz w:val="21"/>
                <w:szCs w:val="21"/>
                <w:lang w:val="en-US" w:eastAsia="zh-CN"/>
              </w:rPr>
            </w:pPr>
            <w:r>
              <w:rPr>
                <w:rFonts w:hint="eastAsia" w:eastAsia="仿宋" w:cs="Times New Roman"/>
                <w:color w:val="auto"/>
                <w:kern w:val="0"/>
                <w:sz w:val="21"/>
                <w:szCs w:val="21"/>
                <w:lang w:val="en-US" w:eastAsia="zh-CN"/>
              </w:rPr>
              <w:t>队员</w:t>
            </w:r>
          </w:p>
        </w:tc>
        <w:tc>
          <w:tcPr>
            <w:tcW w:w="71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rPr>
            </w:pPr>
            <w:r>
              <w:rPr>
                <w:rFonts w:hint="eastAsia" w:eastAsia="仿宋" w:cs="Times New Roman"/>
                <w:color w:val="auto"/>
                <w:kern w:val="0"/>
                <w:sz w:val="21"/>
                <w:szCs w:val="21"/>
                <w:lang w:val="en-US" w:eastAsia="zh-CN"/>
              </w:rPr>
              <w:t>刘毅</w:t>
            </w:r>
          </w:p>
        </w:tc>
        <w:tc>
          <w:tcPr>
            <w:tcW w:w="122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rPr>
            </w:pPr>
            <w:r>
              <w:rPr>
                <w:rFonts w:hint="eastAsia" w:eastAsia="仿宋" w:cs="Times New Roman"/>
                <w:color w:val="auto"/>
                <w:kern w:val="0"/>
                <w:sz w:val="21"/>
                <w:szCs w:val="21"/>
                <w:lang w:val="en-US" w:eastAsia="zh-CN"/>
              </w:rPr>
              <w:t>班长</w:t>
            </w:r>
          </w:p>
        </w:tc>
        <w:tc>
          <w:tcPr>
            <w:tcW w:w="85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sz w:val="21"/>
                <w:szCs w:val="21"/>
                <w:lang w:val="en-US" w:eastAsia="zh-CN"/>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p>
        </w:tc>
        <w:tc>
          <w:tcPr>
            <w:tcW w:w="986"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rPr>
              <w:t>队员</w:t>
            </w:r>
          </w:p>
        </w:tc>
        <w:tc>
          <w:tcPr>
            <w:tcW w:w="71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rPr>
            </w:pPr>
            <w:r>
              <w:rPr>
                <w:rFonts w:hint="eastAsia" w:ascii="Times New Roman" w:hAnsi="Times New Roman" w:eastAsia="仿宋" w:cs="Times New Roman"/>
                <w:color w:val="auto"/>
                <w:kern w:val="0"/>
                <w:sz w:val="21"/>
                <w:szCs w:val="21"/>
                <w:lang w:val="en-US" w:eastAsia="zh-CN"/>
              </w:rPr>
              <w:t>周兆国</w:t>
            </w:r>
          </w:p>
        </w:tc>
        <w:tc>
          <w:tcPr>
            <w:tcW w:w="122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rPr>
            </w:pPr>
            <w:r>
              <w:rPr>
                <w:rFonts w:hint="eastAsia" w:ascii="Times New Roman" w:hAnsi="Times New Roman" w:eastAsia="仿宋" w:cs="Times New Roman"/>
                <w:color w:val="auto"/>
                <w:kern w:val="0"/>
                <w:sz w:val="21"/>
                <w:szCs w:val="21"/>
                <w:lang w:val="en-US" w:eastAsia="zh-CN"/>
              </w:rPr>
              <w:t>机修</w:t>
            </w:r>
            <w:r>
              <w:rPr>
                <w:rFonts w:hint="eastAsia" w:eastAsia="仿宋" w:cs="Times New Roman"/>
                <w:color w:val="auto"/>
                <w:kern w:val="0"/>
                <w:sz w:val="21"/>
                <w:szCs w:val="21"/>
                <w:lang w:val="en-US" w:eastAsia="zh-CN"/>
              </w:rPr>
              <w:t>工</w:t>
            </w:r>
          </w:p>
        </w:tc>
        <w:tc>
          <w:tcPr>
            <w:tcW w:w="85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sz w:val="21"/>
                <w:szCs w:val="21"/>
                <w:lang w:val="en-US" w:eastAsia="zh-CN"/>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restar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仿宋" w:cs="Times New Roman"/>
                <w:color w:val="auto"/>
                <w:kern w:val="0"/>
                <w:sz w:val="21"/>
                <w:szCs w:val="21"/>
                <w:lang w:eastAsia="zh-CN"/>
              </w:rPr>
            </w:pPr>
            <w:r>
              <w:rPr>
                <w:rFonts w:hint="eastAsia" w:ascii="Times New Roman" w:hAnsi="Times New Roman" w:eastAsia="仿宋" w:cs="Times New Roman"/>
                <w:color w:val="auto"/>
                <w:kern w:val="0"/>
                <w:sz w:val="21"/>
                <w:szCs w:val="21"/>
                <w:lang w:val="en-US" w:eastAsia="zh-CN"/>
              </w:rPr>
              <w:t>3</w:t>
            </w:r>
          </w:p>
        </w:tc>
        <w:tc>
          <w:tcPr>
            <w:tcW w:w="986" w:type="pct"/>
            <w:vMerge w:val="restar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医疗救护</w:t>
            </w: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组长</w:t>
            </w:r>
          </w:p>
        </w:tc>
        <w:tc>
          <w:tcPr>
            <w:tcW w:w="713"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sz w:val="21"/>
                <w:szCs w:val="21"/>
              </w:rPr>
            </w:pPr>
            <w:r>
              <w:rPr>
                <w:rFonts w:hint="eastAsia" w:ascii="Times New Roman" w:hAnsi="Times New Roman" w:eastAsia="仿宋" w:cs="Times New Roman"/>
                <w:color w:val="auto"/>
                <w:kern w:val="0"/>
                <w:szCs w:val="21"/>
                <w:lang w:val="en-US" w:eastAsia="zh-CN"/>
              </w:rPr>
              <w:t>赵先玉</w:t>
            </w:r>
          </w:p>
        </w:tc>
        <w:tc>
          <w:tcPr>
            <w:tcW w:w="122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rPr>
            </w:pPr>
            <w:r>
              <w:rPr>
                <w:rFonts w:hint="eastAsia" w:eastAsia="仿宋" w:cs="Times New Roman"/>
                <w:color w:val="auto"/>
                <w:kern w:val="0"/>
                <w:sz w:val="21"/>
                <w:szCs w:val="21"/>
                <w:lang w:val="en-US" w:eastAsia="zh-CN"/>
              </w:rPr>
              <w:t>营销总监</w:t>
            </w:r>
          </w:p>
        </w:tc>
        <w:tc>
          <w:tcPr>
            <w:tcW w:w="85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sz w:val="21"/>
                <w:szCs w:val="21"/>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p>
        </w:tc>
        <w:tc>
          <w:tcPr>
            <w:tcW w:w="986"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队员</w:t>
            </w:r>
          </w:p>
        </w:tc>
        <w:tc>
          <w:tcPr>
            <w:tcW w:w="713" w:type="pct"/>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仿宋" w:cs="Times New Roman"/>
                <w:color w:val="auto"/>
                <w:sz w:val="21"/>
                <w:szCs w:val="21"/>
                <w:lang w:eastAsia="zh-CN"/>
              </w:rPr>
            </w:pPr>
            <w:r>
              <w:rPr>
                <w:rFonts w:hint="eastAsia" w:ascii="Times New Roman" w:hAnsi="Times New Roman" w:eastAsia="仿宋" w:cs="Times New Roman"/>
                <w:color w:val="auto"/>
                <w:sz w:val="21"/>
                <w:szCs w:val="21"/>
                <w:lang w:eastAsia="zh-CN"/>
              </w:rPr>
              <w:t>陈子洋</w:t>
            </w:r>
          </w:p>
        </w:tc>
        <w:tc>
          <w:tcPr>
            <w:tcW w:w="122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仿宋" w:cs="Times New Roman"/>
                <w:color w:val="auto"/>
                <w:kern w:val="0"/>
                <w:sz w:val="21"/>
                <w:szCs w:val="21"/>
                <w:lang w:eastAsia="zh-CN"/>
              </w:rPr>
            </w:pPr>
            <w:r>
              <w:rPr>
                <w:rFonts w:hint="eastAsia" w:ascii="Times New Roman" w:hAnsi="Times New Roman" w:eastAsia="仿宋" w:cs="Times New Roman"/>
                <w:color w:val="auto"/>
                <w:kern w:val="0"/>
                <w:sz w:val="21"/>
                <w:szCs w:val="21"/>
                <w:lang w:eastAsia="zh-CN"/>
              </w:rPr>
              <w:t>采购</w:t>
            </w:r>
            <w:r>
              <w:rPr>
                <w:rFonts w:hint="eastAsia" w:eastAsia="仿宋" w:cs="Times New Roman"/>
                <w:color w:val="auto"/>
                <w:kern w:val="0"/>
                <w:sz w:val="21"/>
                <w:szCs w:val="21"/>
                <w:lang w:val="en-US" w:eastAsia="zh-CN"/>
              </w:rPr>
              <w:t>营销专</w:t>
            </w:r>
            <w:r>
              <w:rPr>
                <w:rFonts w:hint="eastAsia" w:ascii="Times New Roman" w:hAnsi="Times New Roman" w:eastAsia="仿宋" w:cs="Times New Roman"/>
                <w:color w:val="auto"/>
                <w:kern w:val="0"/>
                <w:sz w:val="21"/>
                <w:szCs w:val="21"/>
                <w:lang w:eastAsia="zh-CN"/>
              </w:rPr>
              <w:t>员</w:t>
            </w:r>
          </w:p>
        </w:tc>
        <w:tc>
          <w:tcPr>
            <w:tcW w:w="85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sz w:val="21"/>
                <w:szCs w:val="21"/>
                <w:lang w:val="en-US" w:eastAsia="zh-CN"/>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p>
        </w:tc>
        <w:tc>
          <w:tcPr>
            <w:tcW w:w="986"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r>
              <w:rPr>
                <w:rFonts w:hint="default" w:ascii="Times New Roman" w:hAnsi="Times New Roman" w:eastAsia="仿宋" w:cs="Times New Roman"/>
                <w:color w:val="auto"/>
                <w:kern w:val="0"/>
                <w:sz w:val="21"/>
                <w:szCs w:val="21"/>
              </w:rPr>
              <w:t>队员</w:t>
            </w:r>
          </w:p>
        </w:tc>
        <w:tc>
          <w:tcPr>
            <w:tcW w:w="71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仿宋" w:cs="Times New Roman"/>
                <w:color w:val="auto"/>
                <w:sz w:val="21"/>
                <w:szCs w:val="21"/>
                <w:lang w:eastAsia="zh-CN"/>
              </w:rPr>
            </w:pPr>
            <w:r>
              <w:rPr>
                <w:rFonts w:hint="eastAsia" w:ascii="Times New Roman" w:hAnsi="Times New Roman" w:eastAsia="仿宋" w:cs="Times New Roman"/>
                <w:color w:val="auto"/>
                <w:sz w:val="21"/>
                <w:szCs w:val="21"/>
                <w:lang w:eastAsia="zh-CN"/>
              </w:rPr>
              <w:t>陈雨风</w:t>
            </w:r>
          </w:p>
        </w:tc>
        <w:tc>
          <w:tcPr>
            <w:tcW w:w="122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仿宋" w:cs="Times New Roman"/>
                <w:color w:val="auto"/>
                <w:kern w:val="0"/>
                <w:sz w:val="21"/>
                <w:szCs w:val="21"/>
                <w:lang w:eastAsia="zh-CN"/>
              </w:rPr>
            </w:pPr>
            <w:r>
              <w:rPr>
                <w:rFonts w:hint="eastAsia" w:ascii="Times New Roman" w:hAnsi="Times New Roman" w:eastAsia="仿宋" w:cs="Times New Roman"/>
                <w:color w:val="auto"/>
                <w:kern w:val="0"/>
                <w:sz w:val="21"/>
                <w:szCs w:val="21"/>
                <w:lang w:eastAsia="zh-CN"/>
              </w:rPr>
              <w:t>采购</w:t>
            </w:r>
            <w:r>
              <w:rPr>
                <w:rFonts w:hint="eastAsia" w:eastAsia="仿宋" w:cs="Times New Roman"/>
                <w:color w:val="auto"/>
                <w:kern w:val="0"/>
                <w:sz w:val="21"/>
                <w:szCs w:val="21"/>
                <w:lang w:val="en-US" w:eastAsia="zh-CN"/>
              </w:rPr>
              <w:t>营销专</w:t>
            </w:r>
            <w:r>
              <w:rPr>
                <w:rFonts w:hint="eastAsia" w:ascii="Times New Roman" w:hAnsi="Times New Roman" w:eastAsia="仿宋" w:cs="Times New Roman"/>
                <w:color w:val="auto"/>
                <w:kern w:val="0"/>
                <w:sz w:val="21"/>
                <w:szCs w:val="21"/>
                <w:lang w:eastAsia="zh-CN"/>
              </w:rPr>
              <w:t>员</w:t>
            </w:r>
          </w:p>
        </w:tc>
        <w:tc>
          <w:tcPr>
            <w:tcW w:w="85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sz w:val="21"/>
                <w:szCs w:val="21"/>
                <w:lang w:val="en-US" w:eastAsia="zh-CN"/>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restar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仿宋" w:cs="Times New Roman"/>
                <w:color w:val="000000"/>
                <w:kern w:val="0"/>
                <w:sz w:val="21"/>
                <w:szCs w:val="21"/>
                <w:lang w:eastAsia="zh-CN"/>
              </w:rPr>
            </w:pPr>
            <w:r>
              <w:rPr>
                <w:rFonts w:hint="eastAsia" w:ascii="Times New Roman" w:hAnsi="Times New Roman" w:eastAsia="仿宋" w:cs="Times New Roman"/>
                <w:color w:val="000000"/>
                <w:kern w:val="0"/>
                <w:sz w:val="21"/>
                <w:szCs w:val="21"/>
                <w:lang w:val="en-US" w:eastAsia="zh-CN"/>
              </w:rPr>
              <w:t>4</w:t>
            </w:r>
          </w:p>
        </w:tc>
        <w:tc>
          <w:tcPr>
            <w:tcW w:w="986" w:type="pct"/>
            <w:vMerge w:val="restar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000000"/>
                <w:kern w:val="0"/>
                <w:sz w:val="21"/>
                <w:szCs w:val="21"/>
              </w:rPr>
            </w:pPr>
            <w:r>
              <w:rPr>
                <w:rFonts w:hint="default" w:ascii="Times New Roman" w:hAnsi="Times New Roman" w:eastAsia="仿宋" w:cs="Times New Roman"/>
                <w:color w:val="000000"/>
                <w:kern w:val="0"/>
                <w:sz w:val="21"/>
                <w:szCs w:val="21"/>
              </w:rPr>
              <w:t>后勤保障</w:t>
            </w: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000000"/>
                <w:kern w:val="0"/>
                <w:sz w:val="21"/>
                <w:szCs w:val="21"/>
              </w:rPr>
            </w:pPr>
            <w:r>
              <w:rPr>
                <w:rFonts w:hint="default" w:ascii="Times New Roman" w:hAnsi="Times New Roman" w:eastAsia="仿宋" w:cs="Times New Roman"/>
                <w:color w:val="000000"/>
                <w:kern w:val="0"/>
                <w:sz w:val="21"/>
                <w:szCs w:val="21"/>
              </w:rPr>
              <w:t>组长</w:t>
            </w:r>
          </w:p>
        </w:tc>
        <w:tc>
          <w:tcPr>
            <w:tcW w:w="713"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sz w:val="21"/>
                <w:szCs w:val="21"/>
                <w:lang w:val="en-US" w:eastAsia="zh-CN"/>
              </w:rPr>
            </w:pPr>
            <w:r>
              <w:rPr>
                <w:rFonts w:hint="default" w:ascii="Times New Roman" w:hAnsi="Times New Roman" w:eastAsia="仿宋" w:cs="Times New Roman"/>
                <w:color w:val="000000"/>
                <w:kern w:val="0"/>
                <w:szCs w:val="21"/>
                <w:lang w:val="en-US" w:eastAsia="zh-CN"/>
              </w:rPr>
              <w:t xml:space="preserve"> </w:t>
            </w:r>
            <w:r>
              <w:rPr>
                <w:rFonts w:hint="eastAsia" w:ascii="Times New Roman" w:hAnsi="Times New Roman" w:eastAsia="仿宋" w:cs="Times New Roman"/>
                <w:color w:val="000000"/>
                <w:kern w:val="0"/>
                <w:szCs w:val="21"/>
                <w:lang w:val="en-US" w:eastAsia="zh-CN"/>
              </w:rPr>
              <w:t>李红</w:t>
            </w:r>
          </w:p>
        </w:tc>
        <w:tc>
          <w:tcPr>
            <w:tcW w:w="122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rPr>
            </w:pPr>
            <w:r>
              <w:rPr>
                <w:rFonts w:hint="eastAsia" w:eastAsia="仿宋" w:cs="Times New Roman"/>
                <w:color w:val="auto"/>
                <w:kern w:val="0"/>
                <w:sz w:val="21"/>
                <w:szCs w:val="21"/>
                <w:lang w:val="en-US" w:eastAsia="zh-CN"/>
              </w:rPr>
              <w:t>行政总监</w:t>
            </w:r>
          </w:p>
        </w:tc>
        <w:tc>
          <w:tcPr>
            <w:tcW w:w="85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000000"/>
                <w:sz w:val="21"/>
                <w:szCs w:val="21"/>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000000"/>
                <w:kern w:val="0"/>
                <w:sz w:val="21"/>
                <w:szCs w:val="21"/>
              </w:rPr>
            </w:pPr>
          </w:p>
        </w:tc>
        <w:tc>
          <w:tcPr>
            <w:tcW w:w="986"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000000"/>
                <w:kern w:val="0"/>
                <w:sz w:val="21"/>
                <w:szCs w:val="21"/>
              </w:rPr>
            </w:pP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000000"/>
                <w:kern w:val="0"/>
                <w:sz w:val="21"/>
                <w:szCs w:val="21"/>
              </w:rPr>
            </w:pPr>
            <w:r>
              <w:rPr>
                <w:rFonts w:hint="default" w:ascii="Times New Roman" w:hAnsi="Times New Roman" w:eastAsia="仿宋" w:cs="Times New Roman"/>
                <w:color w:val="000000"/>
                <w:kern w:val="0"/>
                <w:sz w:val="21"/>
                <w:szCs w:val="21"/>
              </w:rPr>
              <w:t>队员</w:t>
            </w:r>
          </w:p>
        </w:tc>
        <w:tc>
          <w:tcPr>
            <w:tcW w:w="71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000000"/>
                <w:kern w:val="2"/>
                <w:sz w:val="21"/>
                <w:szCs w:val="21"/>
                <w:lang w:val="en-US" w:eastAsia="zh-CN" w:bidi="ar-SA"/>
              </w:rPr>
            </w:pPr>
            <w:r>
              <w:rPr>
                <w:rFonts w:hint="eastAsia" w:ascii="Times New Roman" w:hAnsi="Times New Roman" w:eastAsia="仿宋" w:cs="Times New Roman"/>
                <w:color w:val="000000"/>
                <w:kern w:val="2"/>
                <w:sz w:val="21"/>
                <w:szCs w:val="21"/>
                <w:lang w:val="en-US" w:eastAsia="zh-CN" w:bidi="ar-SA"/>
              </w:rPr>
              <w:t>吴媛菲</w:t>
            </w:r>
          </w:p>
        </w:tc>
        <w:tc>
          <w:tcPr>
            <w:tcW w:w="122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rPr>
            </w:pPr>
            <w:r>
              <w:rPr>
                <w:rFonts w:hint="eastAsia" w:ascii="Times New Roman" w:hAnsi="Times New Roman" w:eastAsia="仿宋" w:cs="Times New Roman"/>
                <w:color w:val="auto"/>
                <w:kern w:val="0"/>
                <w:sz w:val="21"/>
                <w:szCs w:val="21"/>
                <w:lang w:val="en-US" w:eastAsia="zh-CN"/>
              </w:rPr>
              <w:t>人事后勤</w:t>
            </w:r>
          </w:p>
        </w:tc>
        <w:tc>
          <w:tcPr>
            <w:tcW w:w="85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000000"/>
                <w:kern w:val="2"/>
                <w:sz w:val="21"/>
                <w:szCs w:val="21"/>
                <w:lang w:val="en-US" w:eastAsia="zh-CN" w:bidi="ar-SA"/>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000000"/>
                <w:kern w:val="0"/>
                <w:sz w:val="21"/>
                <w:szCs w:val="21"/>
              </w:rPr>
            </w:pPr>
          </w:p>
        </w:tc>
        <w:tc>
          <w:tcPr>
            <w:tcW w:w="986"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000000"/>
                <w:kern w:val="0"/>
                <w:sz w:val="21"/>
                <w:szCs w:val="21"/>
              </w:rPr>
            </w:pP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000000"/>
                <w:kern w:val="0"/>
                <w:sz w:val="21"/>
                <w:szCs w:val="21"/>
                <w:lang w:val="en-US" w:eastAsia="zh-CN" w:bidi="ar-SA"/>
              </w:rPr>
            </w:pPr>
            <w:r>
              <w:rPr>
                <w:rFonts w:hint="default" w:ascii="Times New Roman" w:hAnsi="Times New Roman" w:eastAsia="仿宋" w:cs="Times New Roman"/>
                <w:color w:val="000000"/>
                <w:kern w:val="0"/>
                <w:sz w:val="21"/>
                <w:szCs w:val="21"/>
              </w:rPr>
              <w:t>队员</w:t>
            </w:r>
          </w:p>
        </w:tc>
        <w:tc>
          <w:tcPr>
            <w:tcW w:w="713" w:type="pct"/>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210" w:firstLineChars="100"/>
              <w:textAlignment w:val="auto"/>
              <w:rPr>
                <w:rFonts w:hint="eastAsia" w:ascii="Times New Roman" w:hAnsi="Times New Roman" w:eastAsia="仿宋" w:cs="Times New Roman"/>
                <w:color w:val="000000"/>
                <w:kern w:val="2"/>
                <w:sz w:val="21"/>
                <w:szCs w:val="21"/>
                <w:lang w:val="en-US" w:eastAsia="zh-CN" w:bidi="ar-SA"/>
              </w:rPr>
            </w:pPr>
            <w:r>
              <w:rPr>
                <w:rFonts w:hint="eastAsia" w:ascii="Times New Roman" w:hAnsi="Times New Roman" w:eastAsia="仿宋" w:cs="Times New Roman"/>
                <w:color w:val="000000"/>
                <w:kern w:val="2"/>
                <w:sz w:val="21"/>
                <w:szCs w:val="21"/>
                <w:lang w:val="en-US" w:eastAsia="zh-CN" w:bidi="ar-SA"/>
              </w:rPr>
              <w:t>屈玉莲</w:t>
            </w:r>
          </w:p>
        </w:tc>
        <w:tc>
          <w:tcPr>
            <w:tcW w:w="122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eastAsia" w:ascii="Times New Roman" w:hAnsi="Times New Roman" w:eastAsia="仿宋" w:cs="Times New Roman"/>
                <w:color w:val="auto"/>
                <w:kern w:val="0"/>
                <w:sz w:val="21"/>
                <w:szCs w:val="21"/>
                <w:lang w:val="en-US" w:eastAsia="zh-CN"/>
              </w:rPr>
            </w:pPr>
            <w:r>
              <w:rPr>
                <w:rFonts w:hint="eastAsia" w:ascii="Times New Roman" w:hAnsi="Times New Roman" w:eastAsia="仿宋" w:cs="Times New Roman"/>
                <w:color w:val="auto"/>
                <w:kern w:val="0"/>
                <w:sz w:val="21"/>
                <w:szCs w:val="21"/>
                <w:lang w:val="en-US" w:eastAsia="zh-CN"/>
              </w:rPr>
              <w:t>会计</w:t>
            </w:r>
          </w:p>
        </w:tc>
        <w:tc>
          <w:tcPr>
            <w:tcW w:w="85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仿宋" w:cs="Times New Roman"/>
                <w:color w:val="000000"/>
                <w:kern w:val="2"/>
                <w:sz w:val="21"/>
                <w:szCs w:val="21"/>
                <w:lang w:val="en-US" w:eastAsia="zh-CN" w:bidi="ar-SA"/>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000000"/>
                <w:kern w:val="0"/>
                <w:sz w:val="21"/>
                <w:szCs w:val="21"/>
              </w:rPr>
            </w:pPr>
          </w:p>
        </w:tc>
        <w:tc>
          <w:tcPr>
            <w:tcW w:w="986"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000000"/>
                <w:kern w:val="0"/>
                <w:sz w:val="21"/>
                <w:szCs w:val="21"/>
              </w:rPr>
            </w:pP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000000"/>
                <w:kern w:val="0"/>
                <w:sz w:val="21"/>
                <w:szCs w:val="21"/>
              </w:rPr>
            </w:pPr>
            <w:r>
              <w:rPr>
                <w:rFonts w:hint="default" w:ascii="Times New Roman" w:hAnsi="Times New Roman" w:eastAsia="仿宋" w:cs="Times New Roman"/>
                <w:color w:val="000000"/>
                <w:kern w:val="0"/>
                <w:sz w:val="21"/>
                <w:szCs w:val="21"/>
              </w:rPr>
              <w:t>队员</w:t>
            </w:r>
          </w:p>
        </w:tc>
        <w:tc>
          <w:tcPr>
            <w:tcW w:w="713" w:type="pct"/>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firstLine="210" w:firstLineChars="100"/>
              <w:textAlignment w:val="auto"/>
              <w:rPr>
                <w:rFonts w:hint="default" w:ascii="Times New Roman" w:hAnsi="Times New Roman" w:eastAsia="仿宋" w:cs="Times New Roman"/>
                <w:color w:val="000000"/>
                <w:kern w:val="2"/>
                <w:sz w:val="21"/>
                <w:szCs w:val="21"/>
                <w:lang w:val="en-US" w:eastAsia="zh-CN" w:bidi="ar-SA"/>
              </w:rPr>
            </w:pPr>
            <w:r>
              <w:rPr>
                <w:rFonts w:hint="eastAsia" w:eastAsia="仿宋" w:cs="Times New Roman"/>
                <w:color w:val="000000"/>
                <w:kern w:val="2"/>
                <w:sz w:val="21"/>
                <w:szCs w:val="21"/>
                <w:lang w:val="en-US" w:eastAsia="zh-CN" w:bidi="ar-SA"/>
              </w:rPr>
              <w:t>周丽蓉</w:t>
            </w:r>
          </w:p>
        </w:tc>
        <w:tc>
          <w:tcPr>
            <w:tcW w:w="122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rPr>
            </w:pPr>
            <w:r>
              <w:rPr>
                <w:rFonts w:hint="eastAsia" w:ascii="Times New Roman" w:hAnsi="Times New Roman" w:eastAsia="仿宋" w:cs="Times New Roman"/>
                <w:color w:val="auto"/>
                <w:kern w:val="0"/>
                <w:sz w:val="21"/>
                <w:szCs w:val="21"/>
                <w:lang w:val="en-US" w:eastAsia="zh-CN"/>
              </w:rPr>
              <w:t>出纳</w:t>
            </w:r>
          </w:p>
        </w:tc>
        <w:tc>
          <w:tcPr>
            <w:tcW w:w="85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000000"/>
                <w:kern w:val="2"/>
                <w:sz w:val="21"/>
                <w:szCs w:val="21"/>
                <w:lang w:val="en-US" w:eastAsia="zh-CN" w:bidi="ar-SA"/>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restar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rPr>
            </w:pPr>
            <w:r>
              <w:rPr>
                <w:rFonts w:hint="eastAsia" w:ascii="Times New Roman" w:hAnsi="Times New Roman" w:eastAsia="仿宋" w:cs="Times New Roman"/>
                <w:color w:val="auto"/>
                <w:kern w:val="0"/>
                <w:sz w:val="21"/>
                <w:szCs w:val="21"/>
                <w:lang w:val="en-US" w:eastAsia="zh-CN"/>
              </w:rPr>
              <w:t>5</w:t>
            </w:r>
          </w:p>
        </w:tc>
        <w:tc>
          <w:tcPr>
            <w:tcW w:w="986" w:type="pct"/>
            <w:vMerge w:val="restart"/>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仿宋" w:cs="Times New Roman"/>
                <w:color w:val="auto"/>
                <w:sz w:val="21"/>
                <w:szCs w:val="21"/>
              </w:rPr>
            </w:pPr>
            <w:r>
              <w:rPr>
                <w:rFonts w:hint="eastAsia" w:ascii="Times New Roman" w:hAnsi="Times New Roman" w:eastAsia="仿宋" w:cs="Times New Roman"/>
                <w:color w:val="auto"/>
                <w:sz w:val="21"/>
                <w:szCs w:val="21"/>
                <w:lang w:val="en-US" w:eastAsia="zh-CN"/>
              </w:rPr>
              <w:t>污染控制</w:t>
            </w: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rPr>
            </w:pPr>
            <w:r>
              <w:rPr>
                <w:rFonts w:hint="default" w:ascii="Times New Roman" w:hAnsi="Times New Roman" w:eastAsia="仿宋" w:cs="Times New Roman"/>
                <w:color w:val="auto"/>
                <w:kern w:val="0"/>
                <w:sz w:val="21"/>
                <w:szCs w:val="21"/>
                <w:lang w:val="en-US" w:eastAsia="zh-CN"/>
              </w:rPr>
              <w:t>组长</w:t>
            </w:r>
          </w:p>
        </w:tc>
        <w:tc>
          <w:tcPr>
            <w:tcW w:w="713"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sz w:val="21"/>
                <w:szCs w:val="21"/>
                <w:lang w:eastAsia="zh-CN"/>
              </w:rPr>
            </w:pPr>
            <w:r>
              <w:rPr>
                <w:rFonts w:hint="eastAsia" w:ascii="Times New Roman" w:hAnsi="Times New Roman" w:eastAsia="仿宋" w:cs="Times New Roman"/>
                <w:color w:val="auto"/>
                <w:sz w:val="21"/>
                <w:szCs w:val="21"/>
                <w:lang w:eastAsia="zh-CN"/>
              </w:rPr>
              <w:t>赵新国</w:t>
            </w:r>
          </w:p>
        </w:tc>
        <w:tc>
          <w:tcPr>
            <w:tcW w:w="122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eastAsia="zh-CN"/>
              </w:rPr>
            </w:pPr>
            <w:r>
              <w:rPr>
                <w:rFonts w:hint="eastAsia" w:ascii="Times New Roman" w:hAnsi="Times New Roman" w:eastAsia="仿宋" w:cs="Times New Roman"/>
                <w:color w:val="auto"/>
                <w:kern w:val="0"/>
                <w:sz w:val="21"/>
                <w:szCs w:val="21"/>
                <w:lang w:eastAsia="zh-CN"/>
              </w:rPr>
              <w:t>主任工程师</w:t>
            </w:r>
          </w:p>
        </w:tc>
        <w:tc>
          <w:tcPr>
            <w:tcW w:w="85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sz w:val="21"/>
                <w:szCs w:val="21"/>
                <w:lang w:val="en-US" w:eastAsia="zh-CN"/>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rPr>
            </w:pPr>
          </w:p>
        </w:tc>
        <w:tc>
          <w:tcPr>
            <w:tcW w:w="986"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textAlignment w:val="auto"/>
              <w:rPr>
                <w:rFonts w:hint="default" w:ascii="Times New Roman" w:hAnsi="Times New Roman" w:eastAsia="仿宋" w:cs="Times New Roman"/>
                <w:color w:val="auto"/>
                <w:sz w:val="21"/>
                <w:szCs w:val="21"/>
              </w:rPr>
            </w:pP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rPr>
              <w:t>队员</w:t>
            </w:r>
          </w:p>
        </w:tc>
        <w:tc>
          <w:tcPr>
            <w:tcW w:w="713"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sz w:val="21"/>
                <w:szCs w:val="21"/>
                <w:lang w:val="en-US"/>
              </w:rPr>
            </w:pPr>
            <w:r>
              <w:rPr>
                <w:rFonts w:hint="eastAsia" w:eastAsia="仿宋" w:cs="Times New Roman"/>
                <w:color w:val="auto"/>
                <w:kern w:val="0"/>
                <w:szCs w:val="21"/>
                <w:lang w:val="en-US" w:eastAsia="zh-CN"/>
              </w:rPr>
              <w:t>曾文全</w:t>
            </w:r>
          </w:p>
        </w:tc>
        <w:tc>
          <w:tcPr>
            <w:tcW w:w="122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eastAsia" w:eastAsia="仿宋" w:cs="Times New Roman"/>
                <w:color w:val="auto"/>
                <w:kern w:val="0"/>
                <w:szCs w:val="21"/>
                <w:lang w:val="en-US" w:eastAsia="zh-CN"/>
              </w:rPr>
              <w:t>主任工程师</w:t>
            </w:r>
          </w:p>
        </w:tc>
        <w:tc>
          <w:tcPr>
            <w:tcW w:w="85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sz w:val="21"/>
                <w:szCs w:val="21"/>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rPr>
            </w:pPr>
          </w:p>
        </w:tc>
        <w:tc>
          <w:tcPr>
            <w:tcW w:w="986"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textAlignment w:val="auto"/>
              <w:rPr>
                <w:rFonts w:hint="default" w:ascii="Times New Roman" w:hAnsi="Times New Roman" w:eastAsia="仿宋" w:cs="Times New Roman"/>
                <w:color w:val="auto"/>
                <w:sz w:val="21"/>
                <w:szCs w:val="21"/>
              </w:rPr>
            </w:pP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rPr>
              <w:t>队员</w:t>
            </w:r>
          </w:p>
        </w:tc>
        <w:tc>
          <w:tcPr>
            <w:tcW w:w="713" w:type="pct"/>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仿宋" w:cs="Times New Roman"/>
                <w:color w:val="auto"/>
                <w:sz w:val="21"/>
                <w:szCs w:val="21"/>
                <w:lang w:eastAsia="zh-CN"/>
              </w:rPr>
            </w:pPr>
            <w:r>
              <w:rPr>
                <w:rFonts w:hint="eastAsia" w:eastAsia="仿宋" w:cs="Times New Roman"/>
                <w:color w:val="auto"/>
                <w:sz w:val="21"/>
                <w:szCs w:val="21"/>
                <w:lang w:val="en-US" w:eastAsia="zh-CN"/>
              </w:rPr>
              <w:t>曾祥波</w:t>
            </w:r>
          </w:p>
        </w:tc>
        <w:tc>
          <w:tcPr>
            <w:tcW w:w="122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bidi="ar-SA"/>
              </w:rPr>
            </w:pPr>
            <w:r>
              <w:rPr>
                <w:rFonts w:hint="eastAsia" w:ascii="Times New Roman" w:hAnsi="Times New Roman" w:eastAsia="仿宋" w:cs="Times New Roman"/>
                <w:color w:val="auto"/>
                <w:kern w:val="0"/>
                <w:sz w:val="21"/>
                <w:szCs w:val="21"/>
                <w:lang w:val="en-US" w:eastAsia="zh-CN" w:bidi="ar-SA"/>
              </w:rPr>
              <w:t>设备管理</w:t>
            </w:r>
            <w:r>
              <w:rPr>
                <w:rFonts w:hint="eastAsia" w:eastAsia="仿宋" w:cs="Times New Roman"/>
                <w:color w:val="auto"/>
                <w:kern w:val="0"/>
                <w:sz w:val="21"/>
                <w:szCs w:val="21"/>
                <w:lang w:val="en-US" w:eastAsia="zh-CN" w:bidi="ar-SA"/>
              </w:rPr>
              <w:t>员</w:t>
            </w:r>
          </w:p>
        </w:tc>
        <w:tc>
          <w:tcPr>
            <w:tcW w:w="85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sz w:val="21"/>
                <w:szCs w:val="21"/>
                <w:lang w:val="en-US" w:eastAsia="zh-CN"/>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restar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rPr>
            </w:pPr>
            <w:r>
              <w:rPr>
                <w:rFonts w:hint="eastAsia" w:ascii="Times New Roman" w:hAnsi="Times New Roman" w:eastAsia="仿宋" w:cs="Times New Roman"/>
                <w:color w:val="auto"/>
                <w:kern w:val="0"/>
                <w:sz w:val="21"/>
                <w:szCs w:val="21"/>
                <w:lang w:val="en-US" w:eastAsia="zh-CN"/>
              </w:rPr>
              <w:t>6</w:t>
            </w:r>
          </w:p>
        </w:tc>
        <w:tc>
          <w:tcPr>
            <w:tcW w:w="986" w:type="pct"/>
            <w:vMerge w:val="restart"/>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仿宋" w:cs="Times New Roman"/>
                <w:color w:val="auto"/>
                <w:sz w:val="21"/>
                <w:szCs w:val="21"/>
                <w:lang w:eastAsia="zh-CN"/>
              </w:rPr>
            </w:pPr>
            <w:r>
              <w:rPr>
                <w:rFonts w:hint="eastAsia" w:ascii="Times New Roman" w:hAnsi="Times New Roman" w:eastAsia="仿宋" w:cs="Times New Roman"/>
                <w:color w:val="auto"/>
                <w:sz w:val="21"/>
                <w:szCs w:val="21"/>
                <w:lang w:eastAsia="zh-CN"/>
              </w:rPr>
              <w:t>警戒疏散</w:t>
            </w: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lang w:val="en-US" w:eastAsia="zh-CN"/>
              </w:rPr>
              <w:t>组长</w:t>
            </w:r>
          </w:p>
        </w:tc>
        <w:tc>
          <w:tcPr>
            <w:tcW w:w="713"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eastAsia" w:ascii="Times New Roman" w:hAnsi="Times New Roman" w:eastAsia="仿宋" w:cs="Times New Roman"/>
                <w:color w:val="auto"/>
                <w:kern w:val="2"/>
                <w:sz w:val="21"/>
                <w:szCs w:val="21"/>
                <w:lang w:val="en-US" w:eastAsia="zh-CN" w:bidi="ar-SA"/>
              </w:rPr>
            </w:pPr>
            <w:r>
              <w:rPr>
                <w:rFonts w:hint="eastAsia" w:ascii="Times New Roman" w:hAnsi="Times New Roman" w:eastAsia="仿宋" w:cs="Times New Roman"/>
                <w:color w:val="auto"/>
                <w:kern w:val="2"/>
                <w:sz w:val="21"/>
                <w:szCs w:val="21"/>
                <w:lang w:val="en-US" w:eastAsia="zh-CN" w:bidi="ar-SA"/>
              </w:rPr>
              <w:t>刘磊</w:t>
            </w:r>
          </w:p>
        </w:tc>
        <w:tc>
          <w:tcPr>
            <w:tcW w:w="122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eastAsia" w:ascii="Times New Roman" w:hAnsi="Times New Roman" w:eastAsia="仿宋" w:cs="Times New Roman"/>
                <w:color w:val="auto"/>
                <w:kern w:val="0"/>
                <w:sz w:val="21"/>
                <w:szCs w:val="21"/>
                <w:lang w:val="en-US" w:eastAsia="zh-CN" w:bidi="ar-SA"/>
              </w:rPr>
              <w:t>安全</w:t>
            </w:r>
            <w:r>
              <w:rPr>
                <w:rFonts w:hint="eastAsia" w:eastAsia="仿宋" w:cs="Times New Roman"/>
                <w:color w:val="auto"/>
                <w:kern w:val="0"/>
                <w:sz w:val="21"/>
                <w:szCs w:val="21"/>
                <w:lang w:val="en-US" w:eastAsia="zh-CN" w:bidi="ar-SA"/>
              </w:rPr>
              <w:t>科科长</w:t>
            </w:r>
          </w:p>
        </w:tc>
        <w:tc>
          <w:tcPr>
            <w:tcW w:w="85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kern w:val="2"/>
                <w:sz w:val="21"/>
                <w:szCs w:val="21"/>
                <w:lang w:val="en-US" w:eastAsia="zh-CN" w:bidi="ar-SA"/>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rPr>
            </w:pPr>
          </w:p>
        </w:tc>
        <w:tc>
          <w:tcPr>
            <w:tcW w:w="986"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textAlignment w:val="auto"/>
              <w:rPr>
                <w:rFonts w:hint="default" w:ascii="Times New Roman" w:hAnsi="Times New Roman" w:eastAsia="仿宋" w:cs="Times New Roman"/>
                <w:color w:val="auto"/>
                <w:sz w:val="21"/>
                <w:szCs w:val="21"/>
              </w:rPr>
            </w:pP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rPr>
              <w:t>队员</w:t>
            </w:r>
          </w:p>
        </w:tc>
        <w:tc>
          <w:tcPr>
            <w:tcW w:w="713"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eastAsia" w:ascii="Times New Roman" w:hAnsi="Times New Roman" w:eastAsia="仿宋" w:cs="Times New Roman"/>
                <w:color w:val="auto"/>
                <w:kern w:val="2"/>
                <w:sz w:val="21"/>
                <w:szCs w:val="21"/>
                <w:lang w:val="en-US" w:eastAsia="zh-CN" w:bidi="ar-SA"/>
              </w:rPr>
            </w:pPr>
            <w:r>
              <w:rPr>
                <w:rFonts w:hint="eastAsia" w:ascii="Times New Roman" w:hAnsi="Times New Roman" w:eastAsia="仿宋" w:cs="Times New Roman"/>
                <w:color w:val="auto"/>
                <w:kern w:val="2"/>
                <w:sz w:val="21"/>
                <w:szCs w:val="21"/>
                <w:lang w:val="en-US" w:eastAsia="zh-CN" w:bidi="ar-SA"/>
              </w:rPr>
              <w:t>王正武</w:t>
            </w:r>
          </w:p>
        </w:tc>
        <w:tc>
          <w:tcPr>
            <w:tcW w:w="122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kern w:val="0"/>
                <w:sz w:val="21"/>
                <w:szCs w:val="21"/>
                <w:lang w:val="en-US" w:eastAsia="zh-CN" w:bidi="ar-SA"/>
              </w:rPr>
            </w:pPr>
            <w:r>
              <w:rPr>
                <w:rFonts w:hint="eastAsia" w:eastAsia="仿宋" w:cs="Times New Roman"/>
                <w:color w:val="auto"/>
                <w:kern w:val="0"/>
                <w:sz w:val="21"/>
                <w:szCs w:val="21"/>
                <w:lang w:val="en-US" w:eastAsia="zh-CN" w:bidi="ar-SA"/>
              </w:rPr>
              <w:t>环保专员</w:t>
            </w:r>
          </w:p>
        </w:tc>
        <w:tc>
          <w:tcPr>
            <w:tcW w:w="851" w:type="pct"/>
            <w:tcBorders>
              <w:tl2br w:val="nil"/>
              <w:tr2bl w:val="nil"/>
            </w:tcBorders>
            <w:noWrap w:val="0"/>
            <w:tcMar>
              <w:top w:w="0" w:type="dxa"/>
              <w:left w:w="108" w:type="dxa"/>
              <w:bottom w:w="0" w:type="dxa"/>
              <w:right w:w="108" w:type="dxa"/>
            </w:tcMar>
            <w:vAlign w:val="center"/>
          </w:tcPr>
          <w:p>
            <w:pPr>
              <w:keepNext w:val="0"/>
              <w:keepLines w:val="0"/>
              <w:suppressLineNumbers w:val="0"/>
              <w:spacing w:before="0" w:beforeAutospacing="0" w:after="0" w:afterAutospacing="0"/>
              <w:ind w:left="0" w:right="0"/>
              <w:jc w:val="center"/>
              <w:rPr>
                <w:rFonts w:hint="default" w:ascii="Times New Roman" w:hAnsi="Times New Roman" w:eastAsia="仿宋" w:cs="Times New Roman"/>
                <w:color w:val="auto"/>
                <w:kern w:val="2"/>
                <w:sz w:val="21"/>
                <w:szCs w:val="21"/>
                <w:lang w:val="en-US" w:eastAsia="zh-CN" w:bidi="ar-SA"/>
              </w:rPr>
            </w:pPr>
            <w:r>
              <w:rPr>
                <w:rFonts w:hint="eastAsia" w:ascii="Times New Roman" w:hAnsi="Times New Roman" w:eastAsia="仿宋"/>
                <w:szCs w:val="21"/>
                <w:highlight w:val="none"/>
                <w:lang w:val="en-US" w:eastAsia="zh-CN"/>
              </w:rPr>
              <w:t>XXX</w:t>
            </w:r>
          </w:p>
        </w:tc>
      </w:tr>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0" w:type="dxa"/>
            <w:bottom w:w="0" w:type="dxa"/>
            <w:right w:w="0" w:type="dxa"/>
          </w:tblCellMar>
        </w:tblPrEx>
        <w:trPr>
          <w:trHeight w:val="397" w:hRule="atLeast"/>
          <w:jc w:val="center"/>
        </w:trPr>
        <w:tc>
          <w:tcPr>
            <w:tcW w:w="442"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rPr>
            </w:pPr>
          </w:p>
        </w:tc>
        <w:tc>
          <w:tcPr>
            <w:tcW w:w="986" w:type="pct"/>
            <w:vMerge w:val="continue"/>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textAlignment w:val="auto"/>
              <w:rPr>
                <w:rFonts w:hint="default" w:ascii="Times New Roman" w:hAnsi="Times New Roman" w:eastAsia="仿宋" w:cs="Times New Roman"/>
                <w:color w:val="auto"/>
                <w:sz w:val="21"/>
                <w:szCs w:val="21"/>
              </w:rPr>
            </w:pPr>
          </w:p>
        </w:tc>
        <w:tc>
          <w:tcPr>
            <w:tcW w:w="783" w:type="pct"/>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0"/>
                <w:sz w:val="21"/>
                <w:szCs w:val="21"/>
                <w:lang w:val="en-US" w:eastAsia="zh-CN" w:bidi="ar-SA"/>
              </w:rPr>
            </w:pPr>
            <w:r>
              <w:rPr>
                <w:rFonts w:hint="default" w:ascii="Times New Roman" w:hAnsi="Times New Roman" w:eastAsia="仿宋" w:cs="Times New Roman"/>
                <w:color w:val="auto"/>
                <w:kern w:val="0"/>
                <w:sz w:val="21"/>
                <w:szCs w:val="21"/>
              </w:rPr>
              <w:t>队员</w:t>
            </w:r>
          </w:p>
        </w:tc>
        <w:tc>
          <w:tcPr>
            <w:tcW w:w="713" w:type="pct"/>
            <w:tcBorders>
              <w:tl2br w:val="nil"/>
              <w:tr2bl w:val="nil"/>
            </w:tcBorders>
            <w:noWrap w:val="0"/>
            <w:tcMar>
              <w:top w:w="0" w:type="dxa"/>
              <w:left w:w="108" w:type="dxa"/>
              <w:bottom w:w="0" w:type="dxa"/>
              <w:right w:w="108" w:type="dxa"/>
            </w:tcMar>
            <w:vAlign w:val="center"/>
          </w:tcPr>
          <w:p>
            <w:pPr>
              <w:keepNext w:val="0"/>
              <w:keepLines w:val="0"/>
              <w:pageBreakBefore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2"/>
                <w:sz w:val="21"/>
                <w:szCs w:val="21"/>
                <w:lang w:val="en-US" w:eastAsia="zh-CN" w:bidi="ar-SA"/>
              </w:rPr>
            </w:pPr>
            <w:r>
              <w:rPr>
                <w:rFonts w:hint="eastAsia" w:eastAsia="仿宋" w:cs="Times New Roman"/>
                <w:color w:val="auto"/>
                <w:kern w:val="2"/>
                <w:sz w:val="21"/>
                <w:szCs w:val="21"/>
                <w:lang w:val="en-US" w:eastAsia="zh-CN" w:bidi="ar-SA"/>
              </w:rPr>
              <w:t>刘研洋</w:t>
            </w:r>
          </w:p>
        </w:tc>
        <w:tc>
          <w:tcPr>
            <w:tcW w:w="122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仿宋" w:cs="Times New Roman"/>
                <w:color w:val="auto"/>
                <w:kern w:val="0"/>
                <w:sz w:val="21"/>
                <w:szCs w:val="21"/>
                <w:lang w:val="en-US" w:eastAsia="zh-CN" w:bidi="ar-SA"/>
              </w:rPr>
            </w:pPr>
            <w:r>
              <w:rPr>
                <w:rFonts w:hint="eastAsia" w:eastAsia="仿宋" w:cs="Times New Roman"/>
                <w:color w:val="auto"/>
                <w:kern w:val="0"/>
                <w:sz w:val="21"/>
                <w:szCs w:val="21"/>
                <w:lang w:val="en-US" w:eastAsia="zh-CN" w:bidi="ar-SA"/>
              </w:rPr>
              <w:t>安全员</w:t>
            </w:r>
          </w:p>
        </w:tc>
        <w:tc>
          <w:tcPr>
            <w:tcW w:w="851" w:type="pct"/>
            <w:tcBorders>
              <w:tl2br w:val="nil"/>
              <w:tr2bl w:val="nil"/>
            </w:tcBorders>
            <w:noWrap w:val="0"/>
            <w:tcMar>
              <w:top w:w="0" w:type="dxa"/>
              <w:left w:w="108" w:type="dxa"/>
              <w:bottom w:w="0" w:type="dxa"/>
              <w:right w:w="108" w:type="dxa"/>
            </w:tcMar>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仿宋" w:cs="Times New Roman"/>
                <w:color w:val="auto"/>
                <w:kern w:val="2"/>
                <w:sz w:val="21"/>
                <w:szCs w:val="21"/>
                <w:lang w:val="en-US" w:eastAsia="zh-CN" w:bidi="ar-SA"/>
              </w:rPr>
            </w:pPr>
            <w:r>
              <w:rPr>
                <w:rFonts w:hint="eastAsia" w:ascii="Times New Roman" w:hAnsi="Times New Roman" w:eastAsia="仿宋"/>
                <w:szCs w:val="21"/>
                <w:highlight w:val="none"/>
                <w:lang w:val="en-US" w:eastAsia="zh-CN"/>
              </w:rPr>
              <w:t>XXX</w:t>
            </w:r>
          </w:p>
        </w:tc>
      </w:tr>
    </w:tbl>
    <w:p>
      <w:pPr>
        <w:rPr>
          <w:sz w:val="28"/>
          <w:szCs w:val="28"/>
        </w:rPr>
      </w:pPr>
      <w:r>
        <w:rPr>
          <w:sz w:val="28"/>
          <w:szCs w:val="28"/>
        </w:rPr>
        <w:br w:type="page"/>
      </w:r>
      <w:r>
        <w:rPr>
          <w:rFonts w:eastAsia="仿宋"/>
          <w:sz w:val="28"/>
          <w:szCs w:val="28"/>
        </w:rPr>
        <w:t>附件F2：外部应急资源通讯录</w:t>
      </w:r>
    </w:p>
    <w:p>
      <w:pPr>
        <w:pStyle w:val="32"/>
        <w:rPr>
          <w:rFonts w:eastAsia="仿宋"/>
          <w:b w:val="0"/>
          <w:bCs w:val="0"/>
          <w:snapToGrid/>
          <w:kern w:val="2"/>
          <w:sz w:val="28"/>
          <w:szCs w:val="28"/>
        </w:rPr>
      </w:pPr>
      <w:r>
        <w:rPr>
          <w:rFonts w:eastAsia="仿宋"/>
          <w:b w:val="0"/>
          <w:bCs w:val="0"/>
          <w:snapToGrid/>
          <w:kern w:val="2"/>
          <w:sz w:val="28"/>
          <w:szCs w:val="28"/>
        </w:rPr>
        <w:t>外部应急有关单位联系电话</w:t>
      </w:r>
    </w:p>
    <w:tbl>
      <w:tblPr>
        <w:tblStyle w:val="35"/>
        <w:tblW w:w="4998" w:type="pct"/>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733"/>
        <w:gridCol w:w="4275"/>
        <w:gridCol w:w="251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990" w:type="pct"/>
            <w:tcBorders>
              <w:tl2br w:val="nil"/>
              <w:tr2bl w:val="nil"/>
            </w:tcBorders>
            <w:noWrap/>
            <w:vAlign w:val="center"/>
          </w:tcPr>
          <w:p>
            <w:pPr>
              <w:snapToGrid w:val="0"/>
              <w:jc w:val="center"/>
              <w:rPr>
                <w:rFonts w:eastAsia="仿宋"/>
                <w:b/>
                <w:color w:val="000000" w:themeColor="text1"/>
                <w14:textFill>
                  <w14:solidFill>
                    <w14:schemeClr w14:val="tx1"/>
                  </w14:solidFill>
                </w14:textFill>
              </w:rPr>
            </w:pPr>
            <w:r>
              <w:rPr>
                <w:rFonts w:eastAsia="仿宋"/>
                <w:b/>
                <w:color w:val="000000" w:themeColor="text1"/>
                <w14:textFill>
                  <w14:solidFill>
                    <w14:schemeClr w14:val="tx1"/>
                  </w14:solidFill>
                </w14:textFill>
              </w:rPr>
              <w:t>序号</w:t>
            </w:r>
          </w:p>
        </w:tc>
        <w:tc>
          <w:tcPr>
            <w:tcW w:w="2543" w:type="pct"/>
            <w:tcBorders>
              <w:tl2br w:val="nil"/>
              <w:tr2bl w:val="nil"/>
            </w:tcBorders>
            <w:noWrap/>
            <w:vAlign w:val="center"/>
          </w:tcPr>
          <w:p>
            <w:pPr>
              <w:snapToGrid w:val="0"/>
              <w:jc w:val="center"/>
              <w:rPr>
                <w:rFonts w:eastAsia="仿宋"/>
                <w:b/>
                <w:color w:val="000000" w:themeColor="text1"/>
                <w14:textFill>
                  <w14:solidFill>
                    <w14:schemeClr w14:val="tx1"/>
                  </w14:solidFill>
                </w14:textFill>
              </w:rPr>
            </w:pPr>
            <w:r>
              <w:rPr>
                <w:rFonts w:eastAsia="仿宋"/>
                <w:b/>
                <w:color w:val="000000" w:themeColor="text1"/>
                <w14:textFill>
                  <w14:solidFill>
                    <w14:schemeClr w14:val="tx1"/>
                  </w14:solidFill>
                </w14:textFill>
              </w:rPr>
              <w:t>外部应急单位</w:t>
            </w:r>
          </w:p>
        </w:tc>
        <w:tc>
          <w:tcPr>
            <w:tcW w:w="1466" w:type="pct"/>
            <w:tcBorders>
              <w:tl2br w:val="nil"/>
              <w:tr2bl w:val="nil"/>
            </w:tcBorders>
            <w:noWrap/>
            <w:vAlign w:val="center"/>
          </w:tcPr>
          <w:p>
            <w:pPr>
              <w:snapToGrid w:val="0"/>
              <w:jc w:val="center"/>
              <w:rPr>
                <w:rFonts w:eastAsia="仿宋"/>
                <w:b/>
                <w:color w:val="000000" w:themeColor="text1"/>
                <w14:textFill>
                  <w14:solidFill>
                    <w14:schemeClr w14:val="tx1"/>
                  </w14:solidFill>
                </w14:textFill>
              </w:rPr>
            </w:pPr>
            <w:r>
              <w:rPr>
                <w:rFonts w:eastAsia="仿宋"/>
                <w:b/>
                <w:color w:val="000000" w:themeColor="text1"/>
                <w14:textFill>
                  <w14:solidFill>
                    <w14:schemeClr w14:val="tx1"/>
                  </w14:solidFill>
                </w14:textFill>
              </w:rPr>
              <w:t>联系电话</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1</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电话查询</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2</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报警中心（三警合一）</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3</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宜昌市远安县消防救援大队</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4</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公安局</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5</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交通</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6</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气象部门</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7</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宜昌市生态环境局</w:t>
            </w:r>
            <w:r>
              <w:rPr>
                <w:rFonts w:hint="eastAsia" w:eastAsia="仿宋"/>
                <w:color w:val="000000" w:themeColor="text1"/>
                <w:kern w:val="0"/>
                <w14:textFill>
                  <w14:solidFill>
                    <w14:schemeClr w14:val="tx1"/>
                  </w14:solidFill>
                </w14:textFill>
              </w:rPr>
              <w:t>远安县</w:t>
            </w:r>
            <w:r>
              <w:rPr>
                <w:rFonts w:eastAsia="仿宋"/>
                <w:color w:val="000000" w:themeColor="text1"/>
                <w:kern w:val="0"/>
                <w14:textFill>
                  <w14:solidFill>
                    <w14:schemeClr w14:val="tx1"/>
                  </w14:solidFill>
                </w14:textFill>
              </w:rPr>
              <w:t>分局</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8</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hint="eastAsia" w:eastAsia="仿宋"/>
                <w:color w:val="000000" w:themeColor="text1"/>
                <w:kern w:val="0"/>
                <w14:textFill>
                  <w14:solidFill>
                    <w14:schemeClr w14:val="tx1"/>
                  </w14:solidFill>
                </w14:textFill>
              </w:rPr>
              <w:t>远安县</w:t>
            </w:r>
            <w:r>
              <w:rPr>
                <w:rFonts w:eastAsia="仿宋"/>
                <w:color w:val="000000" w:themeColor="text1"/>
                <w:kern w:val="0"/>
                <w14:textFill>
                  <w14:solidFill>
                    <w14:schemeClr w14:val="tx1"/>
                  </w14:solidFill>
                </w14:textFill>
              </w:rPr>
              <w:t>应急管理局</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9</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宜昌市环境保护监测站</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10</w:t>
            </w:r>
          </w:p>
        </w:tc>
        <w:tc>
          <w:tcPr>
            <w:tcW w:w="2543" w:type="pct"/>
            <w:tcBorders>
              <w:tl2br w:val="nil"/>
              <w:tr2bl w:val="nil"/>
            </w:tcBorders>
            <w:noWrap/>
            <w:vAlign w:val="center"/>
          </w:tcPr>
          <w:p>
            <w:pPr>
              <w:autoSpaceDN w:val="0"/>
              <w:snapToGrid w:val="0"/>
              <w:jc w:val="left"/>
              <w:textAlignment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宜昌市应急管理局</w:t>
            </w:r>
          </w:p>
        </w:tc>
        <w:tc>
          <w:tcPr>
            <w:tcW w:w="1466" w:type="pct"/>
            <w:tcBorders>
              <w:tl2br w:val="nil"/>
              <w:tr2bl w:val="nil"/>
            </w:tcBorders>
            <w:noWrap/>
            <w:vAlign w:val="center"/>
          </w:tcPr>
          <w:p>
            <w:pPr>
              <w:autoSpaceDN w:val="0"/>
              <w:snapToGrid w:val="0"/>
              <w:jc w:val="center"/>
              <w:textAlignment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11</w:t>
            </w:r>
          </w:p>
        </w:tc>
        <w:tc>
          <w:tcPr>
            <w:tcW w:w="2543" w:type="pct"/>
            <w:tcBorders>
              <w:tl2br w:val="nil"/>
              <w:tr2bl w:val="nil"/>
            </w:tcBorders>
            <w:noWrap/>
            <w:vAlign w:val="center"/>
          </w:tcPr>
          <w:p>
            <w:pPr>
              <w:spacing w:line="360" w:lineRule="exact"/>
              <w:jc w:val="left"/>
              <w:rPr>
                <w:rFonts w:eastAsia="仿宋"/>
                <w:color w:val="000000" w:themeColor="text1"/>
                <w:kern w:val="0"/>
                <w14:textFill>
                  <w14:solidFill>
                    <w14:schemeClr w14:val="tx1"/>
                  </w14:solidFill>
                </w14:textFill>
              </w:rPr>
            </w:pPr>
            <w:r>
              <w:rPr>
                <w:rFonts w:eastAsia="仿宋"/>
                <w:color w:val="000000" w:themeColor="text1"/>
                <w14:textFill>
                  <w14:solidFill>
                    <w14:schemeClr w14:val="tx1"/>
                  </w14:solidFill>
                </w14:textFill>
              </w:rPr>
              <w:t>宜昌市生态环境局环境监察支队</w:t>
            </w:r>
          </w:p>
        </w:tc>
        <w:tc>
          <w:tcPr>
            <w:tcW w:w="1466" w:type="pct"/>
            <w:tcBorders>
              <w:tl2br w:val="nil"/>
              <w:tr2bl w:val="nil"/>
            </w:tcBorders>
            <w:noWrap/>
            <w:vAlign w:val="center"/>
          </w:tcPr>
          <w:p>
            <w:pPr>
              <w:spacing w:line="360" w:lineRule="exact"/>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12</w:t>
            </w:r>
          </w:p>
        </w:tc>
        <w:tc>
          <w:tcPr>
            <w:tcW w:w="2543" w:type="pct"/>
            <w:tcBorders>
              <w:tl2br w:val="nil"/>
              <w:tr2bl w:val="nil"/>
            </w:tcBorders>
            <w:noWrap/>
            <w:vAlign w:val="center"/>
          </w:tcPr>
          <w:p>
            <w:pPr>
              <w:spacing w:line="360" w:lineRule="exact"/>
              <w:jc w:val="left"/>
              <w:rPr>
                <w:rFonts w:eastAsia="仿宋"/>
                <w:color w:val="000000" w:themeColor="text1"/>
                <w:kern w:val="0"/>
                <w14:textFill>
                  <w14:solidFill>
                    <w14:schemeClr w14:val="tx1"/>
                  </w14:solidFill>
                </w14:textFill>
              </w:rPr>
            </w:pPr>
            <w:r>
              <w:rPr>
                <w:rFonts w:eastAsia="仿宋"/>
                <w:color w:val="000000" w:themeColor="text1"/>
                <w14:textFill>
                  <w14:solidFill>
                    <w14:schemeClr w14:val="tx1"/>
                  </w14:solidFill>
                </w14:textFill>
              </w:rPr>
              <w:t>国家电网有限公司</w:t>
            </w:r>
          </w:p>
        </w:tc>
        <w:tc>
          <w:tcPr>
            <w:tcW w:w="1466" w:type="pct"/>
            <w:tcBorders>
              <w:tl2br w:val="nil"/>
              <w:tr2bl w:val="nil"/>
            </w:tcBorders>
            <w:noWrap/>
            <w:vAlign w:val="center"/>
          </w:tcPr>
          <w:p>
            <w:pPr>
              <w:spacing w:line="360" w:lineRule="exact"/>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13</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hint="eastAsia" w:eastAsia="仿宋"/>
                <w:color w:val="000000" w:themeColor="text1"/>
                <w:kern w:val="0"/>
                <w14:textFill>
                  <w14:solidFill>
                    <w14:schemeClr w14:val="tx1"/>
                  </w14:solidFill>
                </w14:textFill>
              </w:rPr>
              <w:t>远安县人民医院</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pStyle w:val="18"/>
              <w:snapToGrid w:val="0"/>
              <w:jc w:val="center"/>
              <w:rPr>
                <w:rFonts w:eastAsia="仿宋"/>
                <w:color w:val="000000" w:themeColor="text1"/>
                <w:kern w:val="0"/>
                <w:sz w:val="21"/>
                <w:szCs w:val="21"/>
                <w14:textFill>
                  <w14:solidFill>
                    <w14:schemeClr w14:val="tx1"/>
                  </w14:solidFill>
                </w14:textFill>
              </w:rPr>
            </w:pPr>
            <w:r>
              <w:rPr>
                <w:rFonts w:hint="eastAsia" w:eastAsia="仿宋"/>
                <w:color w:val="000000" w:themeColor="text1"/>
                <w:kern w:val="0"/>
                <w:sz w:val="21"/>
                <w:szCs w:val="21"/>
                <w14:textFill>
                  <w14:solidFill>
                    <w14:schemeClr w14:val="tx1"/>
                  </w14:solidFill>
                </w14:textFill>
              </w:rPr>
              <w:t>14</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hint="eastAsia" w:eastAsia="仿宋"/>
                <w:color w:val="000000" w:themeColor="text1"/>
                <w:kern w:val="0"/>
                <w14:textFill>
                  <w14:solidFill>
                    <w14:schemeClr w14:val="tx1"/>
                  </w14:solidFill>
                </w14:textFill>
              </w:rPr>
              <w:t>远安县中医医院</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pStyle w:val="18"/>
              <w:snapToGrid w:val="0"/>
              <w:jc w:val="center"/>
              <w:rPr>
                <w:rFonts w:eastAsia="仿宋"/>
                <w:color w:val="000000" w:themeColor="text1"/>
                <w:kern w:val="0"/>
                <w:sz w:val="21"/>
                <w:szCs w:val="21"/>
                <w14:textFill>
                  <w14:solidFill>
                    <w14:schemeClr w14:val="tx1"/>
                  </w14:solidFill>
                </w14:textFill>
              </w:rPr>
            </w:pPr>
            <w:r>
              <w:rPr>
                <w:rFonts w:hint="eastAsia" w:eastAsia="仿宋"/>
                <w:color w:val="000000" w:themeColor="text1"/>
                <w:kern w:val="0"/>
                <w:sz w:val="21"/>
                <w:szCs w:val="21"/>
                <w14:textFill>
                  <w14:solidFill>
                    <w14:schemeClr w14:val="tx1"/>
                  </w14:solidFill>
                </w14:textFill>
              </w:rPr>
              <w:t>15</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hint="eastAsia" w:eastAsia="仿宋"/>
                <w:color w:val="000000" w:themeColor="text1"/>
                <w:kern w:val="0"/>
                <w14:textFill>
                  <w14:solidFill>
                    <w14:schemeClr w14:val="tx1"/>
                  </w14:solidFill>
                </w14:textFill>
              </w:rPr>
              <w:t>远安县</w:t>
            </w:r>
            <w:r>
              <w:rPr>
                <w:rFonts w:eastAsia="仿宋"/>
                <w:color w:val="000000" w:themeColor="text1"/>
                <w:kern w:val="0"/>
                <w14:textFill>
                  <w14:solidFill>
                    <w14:schemeClr w14:val="tx1"/>
                  </w14:solidFill>
                </w14:textFill>
              </w:rPr>
              <w:t>卫生防疫站</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pStyle w:val="18"/>
              <w:snapToGrid w:val="0"/>
              <w:jc w:val="center"/>
              <w:rPr>
                <w:rFonts w:eastAsia="仿宋"/>
                <w:color w:val="000000" w:themeColor="text1"/>
                <w:kern w:val="0"/>
                <w:sz w:val="21"/>
                <w:szCs w:val="21"/>
                <w14:textFill>
                  <w14:solidFill>
                    <w14:schemeClr w14:val="tx1"/>
                  </w14:solidFill>
                </w14:textFill>
              </w:rPr>
            </w:pPr>
            <w:r>
              <w:rPr>
                <w:rFonts w:hint="eastAsia" w:eastAsia="仿宋"/>
                <w:color w:val="000000" w:themeColor="text1"/>
                <w:kern w:val="0"/>
                <w:sz w:val="21"/>
                <w:szCs w:val="21"/>
                <w14:textFill>
                  <w14:solidFill>
                    <w14:schemeClr w14:val="tx1"/>
                  </w14:solidFill>
                </w14:textFill>
              </w:rPr>
              <w:t>16</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hint="eastAsia" w:eastAsia="仿宋"/>
                <w:color w:val="000000" w:themeColor="text1"/>
                <w:kern w:val="0"/>
                <w14:textFill>
                  <w14:solidFill>
                    <w14:schemeClr w14:val="tx1"/>
                  </w14:solidFill>
                </w14:textFill>
              </w:rPr>
              <w:t>夷陵区人民医院</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pStyle w:val="18"/>
              <w:snapToGrid w:val="0"/>
              <w:jc w:val="center"/>
              <w:rPr>
                <w:rFonts w:eastAsia="仿宋"/>
                <w:color w:val="000000" w:themeColor="text1"/>
                <w:kern w:val="0"/>
                <w:sz w:val="21"/>
                <w:szCs w:val="21"/>
                <w14:textFill>
                  <w14:solidFill>
                    <w14:schemeClr w14:val="tx1"/>
                  </w14:solidFill>
                </w14:textFill>
              </w:rPr>
            </w:pPr>
            <w:r>
              <w:rPr>
                <w:rFonts w:hint="eastAsia" w:eastAsia="仿宋"/>
                <w:color w:val="000000" w:themeColor="text1"/>
                <w:kern w:val="0"/>
                <w:sz w:val="21"/>
                <w:szCs w:val="21"/>
                <w14:textFill>
                  <w14:solidFill>
                    <w14:schemeClr w14:val="tx1"/>
                  </w14:solidFill>
                </w14:textFill>
              </w:rPr>
              <w:t>17</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hint="eastAsia" w:eastAsia="仿宋"/>
                <w:color w:val="000000" w:themeColor="text1"/>
                <w:kern w:val="0"/>
                <w14:textFill>
                  <w14:solidFill>
                    <w14:schemeClr w14:val="tx1"/>
                  </w14:solidFill>
                </w14:textFill>
              </w:rPr>
              <w:t>当阳市人民医院</w:t>
            </w:r>
          </w:p>
        </w:tc>
        <w:tc>
          <w:tcPr>
            <w:tcW w:w="1466" w:type="pct"/>
            <w:tcBorders>
              <w:tl2br w:val="nil"/>
              <w:tr2bl w:val="nil"/>
            </w:tcBorders>
            <w:noWrap/>
            <w:vAlign w:val="center"/>
          </w:tcPr>
          <w:p>
            <w:pPr>
              <w:snapToGrid w:val="0"/>
              <w:jc w:val="center"/>
              <w:rPr>
                <w:rFonts w:eastAsia="仿宋"/>
                <w:color w:val="000000" w:themeColor="text1"/>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pStyle w:val="18"/>
              <w:snapToGrid w:val="0"/>
              <w:jc w:val="center"/>
              <w:rPr>
                <w:rFonts w:eastAsia="仿宋"/>
                <w:color w:val="000000" w:themeColor="text1"/>
                <w:kern w:val="0"/>
                <w:sz w:val="21"/>
                <w:szCs w:val="21"/>
                <w14:textFill>
                  <w14:solidFill>
                    <w14:schemeClr w14:val="tx1"/>
                  </w14:solidFill>
                </w14:textFill>
              </w:rPr>
            </w:pPr>
            <w:r>
              <w:rPr>
                <w:rFonts w:hint="eastAsia" w:eastAsia="仿宋"/>
                <w:color w:val="000000" w:themeColor="text1"/>
                <w:kern w:val="0"/>
                <w:sz w:val="21"/>
                <w:szCs w:val="21"/>
                <w14:textFill>
                  <w14:solidFill>
                    <w14:schemeClr w14:val="tx1"/>
                  </w14:solidFill>
                </w14:textFill>
              </w:rPr>
              <w:t>18</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宜昌市中心医院</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pStyle w:val="18"/>
              <w:snapToGrid w:val="0"/>
              <w:jc w:val="center"/>
              <w:rPr>
                <w:rFonts w:eastAsia="仿宋"/>
                <w:color w:val="000000" w:themeColor="text1"/>
                <w:kern w:val="0"/>
                <w:sz w:val="21"/>
                <w:szCs w:val="21"/>
                <w14:textFill>
                  <w14:solidFill>
                    <w14:schemeClr w14:val="tx1"/>
                  </w14:solidFill>
                </w14:textFill>
              </w:rPr>
            </w:pPr>
            <w:r>
              <w:rPr>
                <w:rFonts w:hint="eastAsia" w:eastAsia="仿宋"/>
                <w:color w:val="000000" w:themeColor="text1"/>
                <w:kern w:val="0"/>
                <w:sz w:val="21"/>
                <w:szCs w:val="21"/>
                <w14:textFill>
                  <w14:solidFill>
                    <w14:schemeClr w14:val="tx1"/>
                  </w14:solidFill>
                </w14:textFill>
              </w:rPr>
              <w:t>19</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宜昌市第一人民医院</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eastAsia="仿宋"/>
                <w:color w:val="000000" w:themeColor="text1"/>
                <w:kern w:val="0"/>
                <w14:textFill>
                  <w14:solidFill>
                    <w14:schemeClr w14:val="tx1"/>
                  </w14:solidFill>
                </w14:textFill>
              </w:rPr>
              <w:t>20</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hint="eastAsia" w:eastAsia="仿宋"/>
                <w:color w:val="000000" w:themeColor="text1"/>
                <w:kern w:val="0"/>
                <w14:textFill>
                  <w14:solidFill>
                    <w14:schemeClr w14:val="tx1"/>
                  </w14:solidFill>
                </w14:textFill>
              </w:rPr>
              <w:t>旧县镇人民政府</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2</w:t>
            </w:r>
            <w:r>
              <w:rPr>
                <w:rFonts w:hint="eastAsia" w:eastAsia="仿宋"/>
                <w:color w:val="000000" w:themeColor="text1"/>
                <w:kern w:val="0"/>
                <w14:textFill>
                  <w14:solidFill>
                    <w14:schemeClr w14:val="tx1"/>
                  </w14:solidFill>
                </w14:textFill>
              </w:rPr>
              <w:t>1</w:t>
            </w:r>
          </w:p>
        </w:tc>
        <w:tc>
          <w:tcPr>
            <w:tcW w:w="2543" w:type="pct"/>
            <w:tcBorders>
              <w:tl2br w:val="nil"/>
              <w:tr2bl w:val="nil"/>
            </w:tcBorders>
            <w:noWrap/>
            <w:vAlign w:val="center"/>
          </w:tcPr>
          <w:p>
            <w:pPr>
              <w:snapToGrid w:val="0"/>
              <w:rPr>
                <w:rFonts w:eastAsia="仿宋"/>
                <w:color w:val="000000" w:themeColor="text1"/>
                <w:kern w:val="0"/>
                <w14:textFill>
                  <w14:solidFill>
                    <w14:schemeClr w14:val="tx1"/>
                  </w14:solidFill>
                </w14:textFill>
              </w:rPr>
            </w:pPr>
            <w:r>
              <w:rPr>
                <w:rFonts w:hint="eastAsia" w:eastAsia="仿宋"/>
                <w:color w:val="000000" w:themeColor="text1"/>
                <w:kern w:val="0"/>
                <w14:textFill>
                  <w14:solidFill>
                    <w14:schemeClr w14:val="tx1"/>
                  </w14:solidFill>
                </w14:textFill>
              </w:rPr>
              <w:t>嫘祖镇人民政府</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2</w:t>
            </w:r>
            <w:r>
              <w:rPr>
                <w:rFonts w:hint="eastAsia" w:eastAsia="仿宋"/>
                <w:color w:val="000000" w:themeColor="text1"/>
                <w:kern w:val="0"/>
                <w14:textFill>
                  <w14:solidFill>
                    <w14:schemeClr w14:val="tx1"/>
                  </w14:solidFill>
                </w14:textFill>
              </w:rPr>
              <w:t>2</w:t>
            </w:r>
          </w:p>
        </w:tc>
        <w:tc>
          <w:tcPr>
            <w:tcW w:w="2543" w:type="pct"/>
            <w:tcBorders>
              <w:tl2br w:val="nil"/>
              <w:tr2bl w:val="nil"/>
            </w:tcBorders>
            <w:noWrap/>
            <w:vAlign w:val="center"/>
          </w:tcPr>
          <w:p>
            <w:pPr>
              <w:snapToGrid w:val="0"/>
              <w:rPr>
                <w:rFonts w:eastAsia="仿宋"/>
                <w:color w:val="000000" w:themeColor="text1"/>
                <w14:textFill>
                  <w14:solidFill>
                    <w14:schemeClr w14:val="tx1"/>
                  </w14:solidFill>
                </w14:textFill>
              </w:rPr>
            </w:pPr>
            <w:r>
              <w:rPr>
                <w:rFonts w:hint="eastAsia" w:eastAsia="仿宋"/>
                <w:color w:val="000000" w:themeColor="text1"/>
                <w:kern w:val="0"/>
                <w14:textFill>
                  <w14:solidFill>
                    <w14:schemeClr w14:val="tx1"/>
                  </w14:solidFill>
                </w14:textFill>
              </w:rPr>
              <w:t>鸣凤镇人民政府</w:t>
            </w:r>
          </w:p>
        </w:tc>
        <w:tc>
          <w:tcPr>
            <w:tcW w:w="1466" w:type="pct"/>
            <w:tcBorders>
              <w:tl2br w:val="nil"/>
              <w:tr2bl w:val="nil"/>
            </w:tcBorders>
            <w:noWrap/>
            <w:vAlign w:val="center"/>
          </w:tcPr>
          <w:p>
            <w:pPr>
              <w:snapToGrid w:val="0"/>
              <w:jc w:val="center"/>
              <w:rPr>
                <w:rFonts w:eastAsia="仿宋"/>
                <w:color w:val="000000" w:themeColor="text1"/>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2</w:t>
            </w:r>
            <w:r>
              <w:rPr>
                <w:rFonts w:hint="eastAsia" w:eastAsia="仿宋"/>
                <w:color w:val="000000" w:themeColor="text1"/>
                <w:kern w:val="0"/>
                <w14:textFill>
                  <w14:solidFill>
                    <w14:schemeClr w14:val="tx1"/>
                  </w14:solidFill>
                </w14:textFill>
              </w:rPr>
              <w:t>3</w:t>
            </w:r>
          </w:p>
        </w:tc>
        <w:tc>
          <w:tcPr>
            <w:tcW w:w="2543" w:type="pct"/>
            <w:tcBorders>
              <w:tl2br w:val="nil"/>
              <w:tr2bl w:val="nil"/>
            </w:tcBorders>
            <w:noWrap/>
            <w:vAlign w:val="center"/>
          </w:tcPr>
          <w:p>
            <w:pPr>
              <w:snapToGrid w:val="0"/>
              <w:rPr>
                <w:rFonts w:eastAsia="仿宋"/>
                <w:bCs/>
                <w:color w:val="000000" w:themeColor="text1"/>
                <w:highlight w:val="yellow"/>
                <w14:textFill>
                  <w14:solidFill>
                    <w14:schemeClr w14:val="tx1"/>
                  </w14:solidFill>
                </w14:textFill>
              </w:rPr>
            </w:pPr>
            <w:r>
              <w:rPr>
                <w:rFonts w:hint="eastAsia" w:eastAsia="仿宋"/>
                <w:color w:val="000000" w:themeColor="text1"/>
                <w:kern w:val="0"/>
                <w14:textFill>
                  <w14:solidFill>
                    <w14:schemeClr w14:val="tx1"/>
                  </w14:solidFill>
                </w14:textFill>
              </w:rPr>
              <w:t>茅坪场镇人民政府</w:t>
            </w:r>
          </w:p>
        </w:tc>
        <w:tc>
          <w:tcPr>
            <w:tcW w:w="1466"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color w:val="000000" w:themeColor="text1"/>
                <w:kern w:val="0"/>
                <w14:textFill>
                  <w14:solidFill>
                    <w14:schemeClr w14:val="tx1"/>
                  </w14:solidFill>
                </w14:textFill>
              </w:rPr>
            </w:pPr>
            <w:r>
              <w:rPr>
                <w:rFonts w:eastAsia="仿宋"/>
                <w:color w:val="000000" w:themeColor="text1"/>
                <w:kern w:val="0"/>
                <w14:textFill>
                  <w14:solidFill>
                    <w14:schemeClr w14:val="tx1"/>
                  </w14:solidFill>
                </w14:textFill>
              </w:rPr>
              <w:t>2</w:t>
            </w:r>
            <w:r>
              <w:rPr>
                <w:rFonts w:hint="eastAsia" w:eastAsia="仿宋"/>
                <w:color w:val="000000" w:themeColor="text1"/>
                <w:kern w:val="0"/>
                <w14:textFill>
                  <w14:solidFill>
                    <w14:schemeClr w14:val="tx1"/>
                  </w14:solidFill>
                </w14:textFill>
              </w:rPr>
              <w:t>4</w:t>
            </w:r>
          </w:p>
        </w:tc>
        <w:tc>
          <w:tcPr>
            <w:tcW w:w="2543" w:type="pct"/>
            <w:tcBorders>
              <w:tl2br w:val="nil"/>
              <w:tr2bl w:val="nil"/>
            </w:tcBorders>
            <w:noWrap/>
            <w:vAlign w:val="center"/>
          </w:tcPr>
          <w:p>
            <w:pPr>
              <w:snapToGrid w:val="0"/>
              <w:rPr>
                <w:rFonts w:eastAsia="仿宋"/>
                <w:bCs/>
                <w:color w:val="000000" w:themeColor="text1"/>
                <w:highlight w:val="yellow"/>
                <w14:textFill>
                  <w14:solidFill>
                    <w14:schemeClr w14:val="tx1"/>
                  </w14:solidFill>
                </w14:textFill>
              </w:rPr>
            </w:pPr>
            <w:r>
              <w:rPr>
                <w:rFonts w:hint="eastAsia" w:eastAsia="仿宋"/>
                <w:color w:val="000000" w:themeColor="text1"/>
                <w:kern w:val="0"/>
                <w14:textFill>
                  <w14:solidFill>
                    <w14:schemeClr w14:val="tx1"/>
                  </w14:solidFill>
                </w14:textFill>
              </w:rPr>
              <w:t>洋坪镇人民政府</w:t>
            </w:r>
          </w:p>
        </w:tc>
        <w:tc>
          <w:tcPr>
            <w:tcW w:w="1466" w:type="pct"/>
            <w:tcBorders>
              <w:tl2br w:val="nil"/>
              <w:tr2bl w:val="nil"/>
            </w:tcBorders>
            <w:noWrap/>
            <w:vAlign w:val="center"/>
          </w:tcPr>
          <w:p>
            <w:pPr>
              <w:snapToGrid w:val="0"/>
              <w:jc w:val="center"/>
              <w:rPr>
                <w:rFonts w:eastAsia="仿宋"/>
                <w:color w:val="FF000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kern w:val="0"/>
              </w:rPr>
            </w:pPr>
            <w:r>
              <w:rPr>
                <w:rFonts w:eastAsia="仿宋"/>
                <w:kern w:val="0"/>
              </w:rPr>
              <w:t>2</w:t>
            </w:r>
            <w:r>
              <w:rPr>
                <w:rFonts w:hint="eastAsia" w:eastAsia="仿宋"/>
                <w:kern w:val="0"/>
              </w:rPr>
              <w:t>5</w:t>
            </w:r>
          </w:p>
        </w:tc>
        <w:tc>
          <w:tcPr>
            <w:tcW w:w="2543" w:type="pct"/>
            <w:tcBorders>
              <w:tl2br w:val="nil"/>
              <w:tr2bl w:val="nil"/>
            </w:tcBorders>
            <w:noWrap/>
            <w:vAlign w:val="center"/>
          </w:tcPr>
          <w:p>
            <w:pPr>
              <w:snapToGrid w:val="0"/>
              <w:rPr>
                <w:rFonts w:eastAsia="仿宋"/>
              </w:rPr>
            </w:pPr>
            <w:r>
              <w:rPr>
                <w:rFonts w:eastAsia="仿宋"/>
              </w:rPr>
              <w:t>宜昌西部化工有限公司</w:t>
            </w:r>
          </w:p>
        </w:tc>
        <w:tc>
          <w:tcPr>
            <w:tcW w:w="1466" w:type="pct"/>
            <w:tcBorders>
              <w:tl2br w:val="nil"/>
              <w:tr2bl w:val="nil"/>
            </w:tcBorders>
            <w:noWrap/>
            <w:vAlign w:val="center"/>
          </w:tcPr>
          <w:p>
            <w:pPr>
              <w:snapToGrid w:val="0"/>
              <w:jc w:val="center"/>
              <w:rPr>
                <w:rFonts w:eastAsia="仿宋"/>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kern w:val="0"/>
              </w:rPr>
            </w:pPr>
            <w:r>
              <w:rPr>
                <w:rFonts w:eastAsia="仿宋"/>
                <w:kern w:val="0"/>
              </w:rPr>
              <w:t>2</w:t>
            </w:r>
            <w:r>
              <w:rPr>
                <w:rFonts w:hint="eastAsia" w:eastAsia="仿宋"/>
                <w:kern w:val="0"/>
              </w:rPr>
              <w:t>6</w:t>
            </w:r>
          </w:p>
        </w:tc>
        <w:tc>
          <w:tcPr>
            <w:tcW w:w="4333" w:type="dxa"/>
            <w:tcBorders>
              <w:tl2br w:val="nil"/>
              <w:tr2bl w:val="nil"/>
            </w:tcBorders>
            <w:noWrap/>
            <w:vAlign w:val="center"/>
          </w:tcPr>
          <w:p>
            <w:pPr>
              <w:snapToGrid w:val="0"/>
              <w:rPr>
                <w:rFonts w:eastAsia="仿宋"/>
                <w:color w:val="FF0000"/>
              </w:rPr>
            </w:pPr>
            <w:r>
              <w:rPr>
                <w:rFonts w:eastAsia="仿宋"/>
                <w:bCs/>
                <w:color w:val="000000"/>
              </w:rPr>
              <w:t>天元(宜昌)新材料科技有限公司</w:t>
            </w:r>
          </w:p>
        </w:tc>
        <w:tc>
          <w:tcPr>
            <w:tcW w:w="1466" w:type="pct"/>
            <w:tcBorders>
              <w:tl2br w:val="nil"/>
              <w:tr2bl w:val="nil"/>
            </w:tcBorders>
            <w:noWrap/>
            <w:vAlign w:val="center"/>
          </w:tcPr>
          <w:p>
            <w:pPr>
              <w:snapToGrid w:val="0"/>
              <w:jc w:val="center"/>
              <w:rPr>
                <w:rFonts w:eastAsia="仿宋"/>
                <w:color w:val="FF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0" w:type="pct"/>
            <w:tcBorders>
              <w:tl2br w:val="nil"/>
              <w:tr2bl w:val="nil"/>
            </w:tcBorders>
            <w:noWrap/>
            <w:vAlign w:val="center"/>
          </w:tcPr>
          <w:p>
            <w:pPr>
              <w:snapToGrid w:val="0"/>
              <w:jc w:val="center"/>
              <w:rPr>
                <w:rFonts w:eastAsia="仿宋"/>
                <w:kern w:val="0"/>
              </w:rPr>
            </w:pPr>
            <w:r>
              <w:rPr>
                <w:rFonts w:eastAsia="仿宋"/>
                <w:kern w:val="0"/>
              </w:rPr>
              <w:t>2</w:t>
            </w:r>
            <w:r>
              <w:rPr>
                <w:rFonts w:hint="eastAsia" w:eastAsia="仿宋"/>
                <w:kern w:val="0"/>
              </w:rPr>
              <w:t>7</w:t>
            </w:r>
          </w:p>
        </w:tc>
        <w:tc>
          <w:tcPr>
            <w:tcW w:w="4333" w:type="dxa"/>
            <w:tcBorders>
              <w:tl2br w:val="nil"/>
              <w:tr2bl w:val="nil"/>
            </w:tcBorders>
            <w:noWrap/>
            <w:vAlign w:val="center"/>
          </w:tcPr>
          <w:p>
            <w:pPr>
              <w:snapToGrid w:val="0"/>
              <w:rPr>
                <w:rFonts w:eastAsia="仿宋"/>
                <w:bCs/>
                <w:color w:val="FF0000"/>
              </w:rPr>
            </w:pPr>
            <w:r>
              <w:rPr>
                <w:rFonts w:eastAsia="仿宋"/>
                <w:color w:val="000000"/>
              </w:rPr>
              <w:t>园区安委会</w:t>
            </w:r>
          </w:p>
        </w:tc>
        <w:tc>
          <w:tcPr>
            <w:tcW w:w="1466" w:type="pct"/>
            <w:tcBorders>
              <w:tl2br w:val="nil"/>
              <w:tr2bl w:val="nil"/>
            </w:tcBorders>
            <w:noWrap/>
            <w:vAlign w:val="center"/>
          </w:tcPr>
          <w:p>
            <w:pPr>
              <w:snapToGrid w:val="0"/>
              <w:jc w:val="center"/>
              <w:rPr>
                <w:rFonts w:eastAsia="仿宋"/>
                <w:color w:val="FF0000"/>
                <w:kern w:val="0"/>
              </w:rPr>
            </w:pPr>
            <w:r>
              <w:rPr>
                <w:rFonts w:hint="eastAsia" w:ascii="Times New Roman" w:hAnsi="Times New Roman" w:eastAsia="仿宋"/>
                <w:szCs w:val="21"/>
                <w:highlight w:val="none"/>
                <w:lang w:val="en-US" w:eastAsia="zh-CN"/>
              </w:rPr>
              <w:t>XXX</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3"/>
            <w:tcBorders>
              <w:tl2br w:val="nil"/>
              <w:tr2bl w:val="nil"/>
            </w:tcBorders>
            <w:noWrap/>
            <w:vAlign w:val="center"/>
          </w:tcPr>
          <w:p>
            <w:pPr>
              <w:snapToGrid w:val="0"/>
              <w:jc w:val="center"/>
              <w:rPr>
                <w:rFonts w:eastAsia="仿宋"/>
                <w:color w:val="FF0000"/>
              </w:rPr>
            </w:pPr>
            <w:r>
              <w:rPr>
                <w:rFonts w:eastAsia="仿宋"/>
              </w:rPr>
              <w:t>注：向外请求支援时，必须向请求支援单位（部门）讲清楚事故种类、性质，事故的破坏程度及现状，可能危急的人数和公司的具体地点等，以确保外部救援队能准确快速的做出反应。</w:t>
            </w:r>
          </w:p>
        </w:tc>
      </w:tr>
    </w:tbl>
    <w:p>
      <w:pPr>
        <w:rPr>
          <w:sz w:val="28"/>
          <w:szCs w:val="28"/>
        </w:rPr>
      </w:pPr>
      <w:r>
        <w:rPr>
          <w:sz w:val="28"/>
          <w:szCs w:val="28"/>
        </w:rPr>
        <w:br w:type="page"/>
      </w:r>
      <w:r>
        <w:rPr>
          <w:rFonts w:eastAsia="仿宋"/>
          <w:sz w:val="28"/>
          <w:szCs w:val="28"/>
        </w:rPr>
        <w:t>附件F3：营业执照</w:t>
      </w:r>
    </w:p>
    <w:p>
      <w:pPr>
        <w:rPr>
          <w:sz w:val="28"/>
          <w:szCs w:val="28"/>
        </w:rPr>
      </w:pPr>
      <w:r>
        <w:rPr>
          <w:sz w:val="28"/>
          <w:szCs w:val="28"/>
        </w:rPr>
        <w:drawing>
          <wp:inline distT="0" distB="0" distL="114300" distR="114300">
            <wp:extent cx="5245100" cy="6997700"/>
            <wp:effectExtent l="0" t="0" r="12700" b="12700"/>
            <wp:docPr id="11" name="图片 16" descr="附件3 湖北航欧新材料科技有限公司企业法人营业执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descr="附件3 湖北航欧新材料科技有限公司企业法人营业执照"/>
                    <pic:cNvPicPr>
                      <a:picLocks noChangeAspect="1"/>
                    </pic:cNvPicPr>
                  </pic:nvPicPr>
                  <pic:blipFill>
                    <a:blip r:embed="rId38"/>
                    <a:stretch>
                      <a:fillRect/>
                    </a:stretch>
                  </pic:blipFill>
                  <pic:spPr>
                    <a:xfrm>
                      <a:off x="0" y="0"/>
                      <a:ext cx="5245100" cy="6997700"/>
                    </a:xfrm>
                    <a:prstGeom prst="rect">
                      <a:avLst/>
                    </a:prstGeom>
                    <a:noFill/>
                    <a:ln>
                      <a:noFill/>
                    </a:ln>
                  </pic:spPr>
                </pic:pic>
              </a:graphicData>
            </a:graphic>
          </wp:inline>
        </w:drawing>
      </w:r>
    </w:p>
    <w:p>
      <w:pPr>
        <w:rPr>
          <w:sz w:val="28"/>
          <w:szCs w:val="28"/>
        </w:rPr>
      </w:pPr>
    </w:p>
    <w:p>
      <w:pPr>
        <w:rPr>
          <w:sz w:val="28"/>
          <w:szCs w:val="28"/>
        </w:rPr>
      </w:pPr>
    </w:p>
    <w:p>
      <w:pPr>
        <w:rPr>
          <w:sz w:val="28"/>
          <w:szCs w:val="28"/>
        </w:rPr>
      </w:pPr>
    </w:p>
    <w:p>
      <w:pPr>
        <w:rPr>
          <w:rFonts w:eastAsia="仿宋"/>
          <w:sz w:val="28"/>
          <w:szCs w:val="28"/>
        </w:rPr>
      </w:pPr>
      <w:r>
        <w:rPr>
          <w:rFonts w:eastAsia="仿宋"/>
          <w:sz w:val="28"/>
          <w:szCs w:val="28"/>
        </w:rPr>
        <w:t>附件F4：</w:t>
      </w:r>
      <w:r>
        <w:rPr>
          <w:rFonts w:hint="eastAsia" w:eastAsia="仿宋"/>
          <w:sz w:val="28"/>
          <w:szCs w:val="28"/>
        </w:rPr>
        <w:t>选址意见书</w:t>
      </w:r>
    </w:p>
    <w:p>
      <w:pPr>
        <w:rPr>
          <w:sz w:val="28"/>
          <w:szCs w:val="28"/>
        </w:rPr>
      </w:pPr>
      <w:r>
        <w:rPr>
          <w:sz w:val="28"/>
          <w:szCs w:val="28"/>
        </w:rPr>
        <w:drawing>
          <wp:inline distT="0" distB="0" distL="114300" distR="114300">
            <wp:extent cx="7023100" cy="5270500"/>
            <wp:effectExtent l="0" t="0" r="6350" b="6350"/>
            <wp:docPr id="12" name="图片 17" descr="附件20 选址意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7" descr="附件20 选址意见书"/>
                    <pic:cNvPicPr>
                      <a:picLocks noChangeAspect="1"/>
                    </pic:cNvPicPr>
                  </pic:nvPicPr>
                  <pic:blipFill>
                    <a:blip r:embed="rId39"/>
                    <a:stretch>
                      <a:fillRect/>
                    </a:stretch>
                  </pic:blipFill>
                  <pic:spPr>
                    <a:xfrm rot="-5400000">
                      <a:off x="0" y="0"/>
                      <a:ext cx="7023100" cy="5270500"/>
                    </a:xfrm>
                    <a:prstGeom prst="rect">
                      <a:avLst/>
                    </a:prstGeom>
                    <a:noFill/>
                    <a:ln>
                      <a:noFill/>
                    </a:ln>
                  </pic:spPr>
                </pic:pic>
              </a:graphicData>
            </a:graphic>
          </wp:inline>
        </w:drawing>
      </w:r>
    </w:p>
    <w:p>
      <w:pPr>
        <w:rPr>
          <w:sz w:val="28"/>
          <w:szCs w:val="28"/>
        </w:rPr>
      </w:pPr>
    </w:p>
    <w:p>
      <w:pPr>
        <w:rPr>
          <w:sz w:val="28"/>
          <w:szCs w:val="28"/>
        </w:rPr>
        <w:sectPr>
          <w:pgSz w:w="11906" w:h="16838"/>
          <w:pgMar w:top="1440" w:right="1800" w:bottom="1440" w:left="1800" w:header="1077" w:footer="1191" w:gutter="0"/>
          <w:pgBorders>
            <w:top w:val="none" w:sz="0" w:space="0"/>
            <w:left w:val="none" w:sz="0" w:space="0"/>
            <w:bottom w:val="none" w:sz="0" w:space="0"/>
            <w:right w:val="none" w:sz="0" w:space="0"/>
          </w:pgBorders>
          <w:cols w:space="720" w:num="1"/>
          <w:docGrid w:type="lines" w:linePitch="312" w:charSpace="0"/>
        </w:sectPr>
      </w:pPr>
    </w:p>
    <w:p>
      <w:pPr>
        <w:rPr>
          <w:rFonts w:eastAsia="仿宋"/>
          <w:sz w:val="28"/>
          <w:szCs w:val="28"/>
        </w:rPr>
      </w:pPr>
      <w:r>
        <w:rPr>
          <w:rFonts w:eastAsia="仿宋"/>
          <w:sz w:val="28"/>
          <w:szCs w:val="28"/>
        </w:rPr>
        <w:t>附件F</w:t>
      </w:r>
      <w:r>
        <w:rPr>
          <w:rFonts w:hint="eastAsia" w:eastAsia="仿宋"/>
          <w:sz w:val="28"/>
          <w:szCs w:val="28"/>
        </w:rPr>
        <w:t>5</w:t>
      </w:r>
      <w:r>
        <w:rPr>
          <w:rFonts w:eastAsia="仿宋"/>
          <w:sz w:val="28"/>
          <w:szCs w:val="28"/>
        </w:rPr>
        <w:t>：企业地理位置</w:t>
      </w:r>
    </w:p>
    <w:p>
      <w:pPr>
        <w:widowControl/>
        <w:jc w:val="left"/>
      </w:pPr>
      <w:r>
        <w:rPr>
          <w:rFonts w:ascii="宋体" w:hAnsi="宋体" w:cs="宋体"/>
          <w:kern w:val="0"/>
          <w:sz w:val="24"/>
          <w:szCs w:val="24"/>
        </w:rPr>
        <w:drawing>
          <wp:inline distT="0" distB="0" distL="114300" distR="114300">
            <wp:extent cx="5321300" cy="4819650"/>
            <wp:effectExtent l="0" t="0" r="12700" b="0"/>
            <wp:docPr id="13" name="图片 3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2" descr="IMG_256"/>
                    <pic:cNvPicPr>
                      <a:picLocks noChangeAspect="1"/>
                    </pic:cNvPicPr>
                  </pic:nvPicPr>
                  <pic:blipFill>
                    <a:blip r:embed="rId40"/>
                    <a:stretch>
                      <a:fillRect/>
                    </a:stretch>
                  </pic:blipFill>
                  <pic:spPr>
                    <a:xfrm>
                      <a:off x="0" y="0"/>
                      <a:ext cx="5321300" cy="4819650"/>
                    </a:xfrm>
                    <a:prstGeom prst="rect">
                      <a:avLst/>
                    </a:prstGeom>
                    <a:noFill/>
                    <a:ln>
                      <a:noFill/>
                    </a:ln>
                  </pic:spPr>
                </pic:pic>
              </a:graphicData>
            </a:graphic>
          </wp:inline>
        </w:drawing>
      </w:r>
    </w:p>
    <w:p>
      <w:pPr>
        <w:rPr>
          <w:sz w:val="28"/>
          <w:szCs w:val="28"/>
        </w:rPr>
        <w:sectPr>
          <w:pgSz w:w="11906" w:h="16838"/>
          <w:pgMar w:top="1440" w:right="1800" w:bottom="1440" w:left="1800" w:header="1077" w:footer="1191" w:gutter="0"/>
          <w:pgBorders>
            <w:top w:val="none" w:sz="0" w:space="0"/>
            <w:left w:val="none" w:sz="0" w:space="0"/>
            <w:bottom w:val="none" w:sz="0" w:space="0"/>
            <w:right w:val="none" w:sz="0" w:space="0"/>
          </w:pgBorders>
          <w:cols w:space="720" w:num="1"/>
          <w:docGrid w:type="lines" w:linePitch="312" w:charSpace="0"/>
        </w:sectPr>
      </w:pPr>
    </w:p>
    <w:p>
      <w:pPr>
        <w:rPr>
          <w:rFonts w:eastAsia="仿宋"/>
          <w:sz w:val="28"/>
          <w:szCs w:val="28"/>
        </w:rPr>
      </w:pPr>
      <w:r>
        <w:rPr>
          <w:rFonts w:eastAsia="仿宋"/>
          <w:sz w:val="28"/>
          <w:szCs w:val="28"/>
        </w:rPr>
        <w:t>附件F</w:t>
      </w:r>
      <w:r>
        <w:rPr>
          <w:rFonts w:hint="eastAsia" w:eastAsia="仿宋"/>
          <w:sz w:val="28"/>
          <w:szCs w:val="28"/>
        </w:rPr>
        <w:t>6</w:t>
      </w:r>
      <w:r>
        <w:rPr>
          <w:rFonts w:eastAsia="仿宋"/>
          <w:sz w:val="28"/>
          <w:szCs w:val="28"/>
        </w:rPr>
        <w:t>：企业周边环境保护目标</w:t>
      </w:r>
    </w:p>
    <w:p>
      <w:pPr>
        <w:widowControl/>
        <w:jc w:val="left"/>
      </w:pPr>
      <w:r>
        <w:rPr>
          <w:rFonts w:ascii="宋体" w:hAnsi="宋体" w:cs="宋体"/>
          <w:kern w:val="0"/>
          <w:sz w:val="24"/>
          <w:szCs w:val="24"/>
        </w:rPr>
        <w:drawing>
          <wp:inline distT="0" distB="0" distL="114300" distR="114300">
            <wp:extent cx="5321300" cy="6083300"/>
            <wp:effectExtent l="0" t="0" r="12700" b="12700"/>
            <wp:docPr id="14" name="图片 3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3" descr="IMG_256"/>
                    <pic:cNvPicPr>
                      <a:picLocks noChangeAspect="1"/>
                    </pic:cNvPicPr>
                  </pic:nvPicPr>
                  <pic:blipFill>
                    <a:blip r:embed="rId41"/>
                    <a:stretch>
                      <a:fillRect/>
                    </a:stretch>
                  </pic:blipFill>
                  <pic:spPr>
                    <a:xfrm>
                      <a:off x="0" y="0"/>
                      <a:ext cx="5321300" cy="6083300"/>
                    </a:xfrm>
                    <a:prstGeom prst="rect">
                      <a:avLst/>
                    </a:prstGeom>
                    <a:noFill/>
                    <a:ln>
                      <a:noFill/>
                    </a:ln>
                  </pic:spPr>
                </pic:pic>
              </a:graphicData>
            </a:graphic>
          </wp:inline>
        </w:drawing>
      </w:r>
    </w:p>
    <w:p>
      <w:pPr>
        <w:widowControl/>
        <w:jc w:val="left"/>
      </w:pPr>
    </w:p>
    <w:p>
      <w:pPr>
        <w:rPr>
          <w:sz w:val="28"/>
          <w:szCs w:val="28"/>
        </w:rPr>
        <w:sectPr>
          <w:pgSz w:w="11906" w:h="16838"/>
          <w:pgMar w:top="1440" w:right="1800" w:bottom="1440" w:left="1800" w:header="1077" w:footer="1191" w:gutter="0"/>
          <w:pgBorders>
            <w:top w:val="none" w:sz="0" w:space="0"/>
            <w:left w:val="none" w:sz="0" w:space="0"/>
            <w:bottom w:val="none" w:sz="0" w:space="0"/>
            <w:right w:val="none" w:sz="0" w:space="0"/>
          </w:pgBorders>
          <w:cols w:space="720" w:num="1"/>
          <w:docGrid w:type="lines" w:linePitch="312" w:charSpace="0"/>
        </w:sectPr>
      </w:pPr>
    </w:p>
    <w:p>
      <w:pPr>
        <w:rPr>
          <w:rFonts w:eastAsia="仿宋"/>
          <w:sz w:val="28"/>
          <w:szCs w:val="28"/>
        </w:rPr>
      </w:pPr>
      <w:r>
        <w:rPr>
          <w:rFonts w:eastAsia="仿宋"/>
          <w:sz w:val="28"/>
          <w:szCs w:val="28"/>
        </w:rPr>
        <w:t>附件F</w:t>
      </w:r>
      <w:r>
        <w:rPr>
          <w:rFonts w:hint="eastAsia" w:eastAsia="仿宋"/>
          <w:sz w:val="28"/>
          <w:szCs w:val="28"/>
        </w:rPr>
        <w:t>7</w:t>
      </w:r>
      <w:r>
        <w:rPr>
          <w:rFonts w:eastAsia="仿宋"/>
          <w:sz w:val="28"/>
          <w:szCs w:val="28"/>
        </w:rPr>
        <w:t>：企业</w:t>
      </w:r>
      <w:r>
        <w:rPr>
          <w:rFonts w:hint="eastAsia" w:eastAsia="仿宋"/>
          <w:sz w:val="28"/>
          <w:szCs w:val="28"/>
        </w:rPr>
        <w:t>给排水布设</w:t>
      </w:r>
    </w:p>
    <w:p>
      <w:pPr>
        <w:widowControl/>
        <w:jc w:val="center"/>
        <w:rPr>
          <w:rFonts w:eastAsia="仿宋"/>
          <w:sz w:val="28"/>
          <w:szCs w:val="28"/>
        </w:rPr>
      </w:pPr>
      <w:r>
        <w:rPr>
          <w:rFonts w:ascii="宋体" w:hAnsi="宋体" w:cs="宋体"/>
          <w:kern w:val="0"/>
          <w:sz w:val="24"/>
          <w:szCs w:val="24"/>
        </w:rPr>
        <w:drawing>
          <wp:inline distT="0" distB="0" distL="114300" distR="114300">
            <wp:extent cx="7423150" cy="5283200"/>
            <wp:effectExtent l="0" t="0" r="12700" b="6350"/>
            <wp:docPr id="15" name="图片 3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4" descr="IMG_256"/>
                    <pic:cNvPicPr>
                      <a:picLocks noChangeAspect="1"/>
                    </pic:cNvPicPr>
                  </pic:nvPicPr>
                  <pic:blipFill>
                    <a:blip r:embed="rId42"/>
                    <a:stretch>
                      <a:fillRect/>
                    </a:stretch>
                  </pic:blipFill>
                  <pic:spPr>
                    <a:xfrm rot="-5400000">
                      <a:off x="0" y="0"/>
                      <a:ext cx="7423150" cy="5283200"/>
                    </a:xfrm>
                    <a:prstGeom prst="rect">
                      <a:avLst/>
                    </a:prstGeom>
                    <a:noFill/>
                    <a:ln>
                      <a:noFill/>
                    </a:ln>
                  </pic:spPr>
                </pic:pic>
              </a:graphicData>
            </a:graphic>
          </wp:inline>
        </w:drawing>
      </w:r>
    </w:p>
    <w:p>
      <w:pPr>
        <w:rPr>
          <w:rFonts w:eastAsia="仿宋"/>
          <w:sz w:val="28"/>
          <w:szCs w:val="28"/>
        </w:rPr>
      </w:pPr>
    </w:p>
    <w:p>
      <w:pPr>
        <w:rPr>
          <w:rFonts w:eastAsia="仿宋"/>
          <w:sz w:val="28"/>
          <w:szCs w:val="28"/>
        </w:rPr>
      </w:pPr>
    </w:p>
    <w:p>
      <w:pPr>
        <w:rPr>
          <w:rFonts w:hint="eastAsia" w:eastAsia="仿宋"/>
          <w:color w:val="FF0000"/>
          <w:sz w:val="28"/>
          <w:szCs w:val="28"/>
          <w:lang w:eastAsia="zh-CN"/>
        </w:rPr>
      </w:pPr>
      <w:r>
        <w:rPr>
          <w:rFonts w:eastAsia="仿宋"/>
          <w:color w:val="FF0000"/>
          <w:sz w:val="28"/>
          <w:szCs w:val="28"/>
        </w:rPr>
        <w:t>附件F</w:t>
      </w:r>
      <w:r>
        <w:rPr>
          <w:rFonts w:hint="eastAsia" w:eastAsia="仿宋"/>
          <w:color w:val="FF0000"/>
          <w:sz w:val="28"/>
          <w:szCs w:val="28"/>
          <w:lang w:val="en-US" w:eastAsia="zh-CN"/>
        </w:rPr>
        <w:t>8</w:t>
      </w:r>
      <w:r>
        <w:rPr>
          <w:rFonts w:eastAsia="仿宋"/>
          <w:color w:val="FF0000"/>
          <w:sz w:val="28"/>
          <w:szCs w:val="28"/>
        </w:rPr>
        <w:t>：企业</w:t>
      </w:r>
      <w:r>
        <w:rPr>
          <w:rFonts w:hint="eastAsia" w:eastAsia="仿宋"/>
          <w:color w:val="FF0000"/>
          <w:sz w:val="28"/>
          <w:szCs w:val="28"/>
          <w:lang w:eastAsia="zh-CN"/>
        </w:rPr>
        <w:t>雨污分流管网、事故废水收集图</w:t>
      </w:r>
    </w:p>
    <w:p>
      <w:pPr>
        <w:rPr>
          <w:rFonts w:hint="eastAsia" w:eastAsia="仿宋"/>
          <w:sz w:val="28"/>
          <w:szCs w:val="28"/>
          <w:lang w:eastAsia="zh-CN"/>
        </w:rPr>
      </w:pPr>
      <w:r>
        <w:rPr>
          <w:rFonts w:hint="eastAsia" w:eastAsia="仿宋"/>
          <w:color w:val="FF0000"/>
          <w:sz w:val="28"/>
          <w:szCs w:val="28"/>
          <w:lang w:eastAsia="zh-CN"/>
        </w:rPr>
        <w:drawing>
          <wp:inline distT="0" distB="0" distL="114300" distR="114300">
            <wp:extent cx="7875905" cy="5266690"/>
            <wp:effectExtent l="0" t="0" r="10160" b="10795"/>
            <wp:docPr id="19" name="图片 19" descr="雨污分流+事故废水收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雨污分流+事故废水收集"/>
                    <pic:cNvPicPr>
                      <a:picLocks noChangeAspect="1"/>
                    </pic:cNvPicPr>
                  </pic:nvPicPr>
                  <pic:blipFill>
                    <a:blip r:embed="rId43"/>
                    <a:srcRect t="7526"/>
                    <a:stretch>
                      <a:fillRect/>
                    </a:stretch>
                  </pic:blipFill>
                  <pic:spPr>
                    <a:xfrm rot="16200000">
                      <a:off x="0" y="0"/>
                      <a:ext cx="7875905" cy="5266690"/>
                    </a:xfrm>
                    <a:prstGeom prst="rect">
                      <a:avLst/>
                    </a:prstGeom>
                  </pic:spPr>
                </pic:pic>
              </a:graphicData>
            </a:graphic>
          </wp:inline>
        </w:drawing>
      </w:r>
    </w:p>
    <w:p>
      <w:pPr>
        <w:rPr>
          <w:rFonts w:eastAsia="仿宋"/>
          <w:sz w:val="28"/>
          <w:szCs w:val="28"/>
        </w:rPr>
      </w:pPr>
      <w:r>
        <w:rPr>
          <w:rFonts w:eastAsia="仿宋"/>
          <w:sz w:val="28"/>
          <w:szCs w:val="28"/>
        </w:rPr>
        <w:br w:type="page"/>
      </w:r>
    </w:p>
    <w:p>
      <w:pPr>
        <w:rPr>
          <w:rFonts w:hint="eastAsia" w:eastAsia="仿宋"/>
          <w:color w:val="FF0000"/>
          <w:sz w:val="28"/>
          <w:szCs w:val="28"/>
          <w:lang w:eastAsia="zh-CN"/>
        </w:rPr>
      </w:pPr>
      <w:r>
        <w:rPr>
          <w:rFonts w:eastAsia="仿宋"/>
          <w:color w:val="FF0000"/>
          <w:sz w:val="28"/>
          <w:szCs w:val="28"/>
        </w:rPr>
        <w:t>附件F</w:t>
      </w:r>
      <w:r>
        <w:rPr>
          <w:rFonts w:hint="eastAsia" w:eastAsia="仿宋"/>
          <w:color w:val="FF0000"/>
          <w:sz w:val="28"/>
          <w:szCs w:val="28"/>
          <w:lang w:val="en-US" w:eastAsia="zh-CN"/>
        </w:rPr>
        <w:t>9</w:t>
      </w:r>
      <w:r>
        <w:rPr>
          <w:rFonts w:eastAsia="仿宋"/>
          <w:color w:val="FF0000"/>
          <w:sz w:val="28"/>
          <w:szCs w:val="28"/>
        </w:rPr>
        <w:t>：企业</w:t>
      </w:r>
      <w:r>
        <w:rPr>
          <w:rFonts w:hint="eastAsia" w:eastAsia="仿宋"/>
          <w:color w:val="FF0000"/>
          <w:sz w:val="28"/>
          <w:szCs w:val="28"/>
          <w:lang w:eastAsia="zh-CN"/>
        </w:rPr>
        <w:t>应急逃生疏散图</w:t>
      </w:r>
    </w:p>
    <w:p>
      <w:pPr>
        <w:rPr>
          <w:rFonts w:eastAsia="仿宋"/>
          <w:color w:val="FF0000"/>
          <w:sz w:val="28"/>
          <w:szCs w:val="28"/>
        </w:rPr>
      </w:pPr>
      <w:r>
        <w:rPr>
          <w:rFonts w:eastAsia="仿宋"/>
          <w:color w:val="FF0000"/>
          <w:sz w:val="28"/>
          <w:szCs w:val="28"/>
        </w:rPr>
        <w:drawing>
          <wp:inline distT="0" distB="0" distL="114300" distR="114300">
            <wp:extent cx="7555230" cy="5281295"/>
            <wp:effectExtent l="0" t="0" r="14605" b="7620"/>
            <wp:docPr id="25" name="图片 25" descr="应急逃生疏散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应急逃生疏散图"/>
                    <pic:cNvPicPr>
                      <a:picLocks noChangeAspect="1"/>
                    </pic:cNvPicPr>
                  </pic:nvPicPr>
                  <pic:blipFill>
                    <a:blip r:embed="rId44"/>
                    <a:srcRect t="13944"/>
                    <a:stretch>
                      <a:fillRect/>
                    </a:stretch>
                  </pic:blipFill>
                  <pic:spPr>
                    <a:xfrm rot="16200000">
                      <a:off x="0" y="0"/>
                      <a:ext cx="7555230" cy="5281295"/>
                    </a:xfrm>
                    <a:prstGeom prst="rect">
                      <a:avLst/>
                    </a:prstGeom>
                  </pic:spPr>
                </pic:pic>
              </a:graphicData>
            </a:graphic>
          </wp:inline>
        </w:drawing>
      </w:r>
    </w:p>
    <w:p>
      <w:pPr>
        <w:rPr>
          <w:rFonts w:eastAsia="仿宋"/>
          <w:color w:val="FF0000"/>
          <w:sz w:val="28"/>
          <w:szCs w:val="28"/>
        </w:rPr>
      </w:pPr>
      <w:r>
        <w:rPr>
          <w:rFonts w:eastAsia="仿宋"/>
          <w:color w:val="FF0000"/>
          <w:sz w:val="28"/>
          <w:szCs w:val="28"/>
        </w:rPr>
        <w:br w:type="page"/>
      </w:r>
    </w:p>
    <w:p>
      <w:pPr>
        <w:rPr>
          <w:rFonts w:hint="eastAsia" w:eastAsia="仿宋"/>
          <w:color w:val="FF0000"/>
          <w:sz w:val="28"/>
          <w:szCs w:val="28"/>
          <w:lang w:eastAsia="zh-CN"/>
        </w:rPr>
      </w:pPr>
      <w:r>
        <w:rPr>
          <w:rFonts w:eastAsia="仿宋"/>
          <w:color w:val="FF0000"/>
          <w:sz w:val="28"/>
          <w:szCs w:val="28"/>
        </w:rPr>
        <w:t>附件F</w:t>
      </w:r>
      <w:r>
        <w:rPr>
          <w:rFonts w:hint="eastAsia" w:eastAsia="仿宋"/>
          <w:color w:val="FF0000"/>
          <w:sz w:val="28"/>
          <w:szCs w:val="28"/>
          <w:lang w:val="en-US" w:eastAsia="zh-CN"/>
        </w:rPr>
        <w:t>10</w:t>
      </w:r>
      <w:r>
        <w:rPr>
          <w:rFonts w:eastAsia="仿宋"/>
          <w:color w:val="FF0000"/>
          <w:sz w:val="28"/>
          <w:szCs w:val="28"/>
        </w:rPr>
        <w:t>：企业</w:t>
      </w:r>
      <w:r>
        <w:rPr>
          <w:rFonts w:hint="eastAsia" w:eastAsia="仿宋"/>
          <w:color w:val="FF0000"/>
          <w:sz w:val="28"/>
          <w:szCs w:val="28"/>
          <w:lang w:eastAsia="zh-CN"/>
        </w:rPr>
        <w:t>重要阀门分布图</w:t>
      </w:r>
    </w:p>
    <w:p>
      <w:pPr>
        <w:rPr>
          <w:rFonts w:hint="eastAsia" w:eastAsia="仿宋"/>
          <w:color w:val="FF0000"/>
          <w:sz w:val="28"/>
          <w:szCs w:val="28"/>
          <w:lang w:eastAsia="zh-CN"/>
        </w:rPr>
      </w:pPr>
      <w:r>
        <w:rPr>
          <w:rFonts w:hint="eastAsia" w:eastAsia="仿宋"/>
          <w:color w:val="FF0000"/>
          <w:sz w:val="28"/>
          <w:szCs w:val="28"/>
          <w:lang w:eastAsia="zh-CN"/>
        </w:rPr>
        <w:drawing>
          <wp:inline distT="0" distB="0" distL="114300" distR="114300">
            <wp:extent cx="7214235" cy="5256530"/>
            <wp:effectExtent l="0" t="0" r="1270" b="5715"/>
            <wp:docPr id="26" name="图片 26" descr="重要阀门分布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重要阀门分布图"/>
                    <pic:cNvPicPr>
                      <a:picLocks noChangeAspect="1"/>
                    </pic:cNvPicPr>
                  </pic:nvPicPr>
                  <pic:blipFill>
                    <a:blip r:embed="rId45"/>
                    <a:srcRect t="6281"/>
                    <a:stretch>
                      <a:fillRect/>
                    </a:stretch>
                  </pic:blipFill>
                  <pic:spPr>
                    <a:xfrm rot="16200000">
                      <a:off x="0" y="0"/>
                      <a:ext cx="7214235" cy="5256530"/>
                    </a:xfrm>
                    <a:prstGeom prst="rect">
                      <a:avLst/>
                    </a:prstGeom>
                  </pic:spPr>
                </pic:pic>
              </a:graphicData>
            </a:graphic>
          </wp:inline>
        </w:drawing>
      </w:r>
    </w:p>
    <w:p>
      <w:pPr>
        <w:rPr>
          <w:rFonts w:eastAsia="仿宋"/>
          <w:color w:val="FF0000"/>
          <w:sz w:val="28"/>
          <w:szCs w:val="28"/>
        </w:rPr>
      </w:pPr>
      <w:r>
        <w:rPr>
          <w:rFonts w:eastAsia="仿宋"/>
          <w:color w:val="FF0000"/>
          <w:sz w:val="28"/>
          <w:szCs w:val="28"/>
        </w:rPr>
        <w:br w:type="page"/>
      </w:r>
    </w:p>
    <w:p>
      <w:pPr>
        <w:rPr>
          <w:rFonts w:hint="eastAsia" w:eastAsia="仿宋"/>
          <w:color w:val="FF0000"/>
          <w:sz w:val="28"/>
          <w:szCs w:val="28"/>
          <w:lang w:eastAsia="zh-CN"/>
        </w:rPr>
      </w:pPr>
      <w:r>
        <w:rPr>
          <w:rFonts w:eastAsia="仿宋"/>
          <w:color w:val="FF0000"/>
          <w:sz w:val="28"/>
          <w:szCs w:val="28"/>
        </w:rPr>
        <w:t>附件F</w:t>
      </w:r>
      <w:r>
        <w:rPr>
          <w:rFonts w:hint="eastAsia" w:eastAsia="仿宋"/>
          <w:color w:val="FF0000"/>
          <w:sz w:val="28"/>
          <w:szCs w:val="28"/>
          <w:lang w:val="en-US" w:eastAsia="zh-CN"/>
        </w:rPr>
        <w:t>11</w:t>
      </w:r>
      <w:r>
        <w:rPr>
          <w:rFonts w:eastAsia="仿宋"/>
          <w:color w:val="FF0000"/>
          <w:sz w:val="28"/>
          <w:szCs w:val="28"/>
        </w:rPr>
        <w:t>：企业</w:t>
      </w:r>
      <w:r>
        <w:rPr>
          <w:rFonts w:hint="eastAsia" w:eastAsia="仿宋"/>
          <w:color w:val="FF0000"/>
          <w:sz w:val="28"/>
          <w:szCs w:val="28"/>
          <w:lang w:eastAsia="zh-CN"/>
        </w:rPr>
        <w:t>风向标图</w:t>
      </w:r>
    </w:p>
    <w:p>
      <w:pPr>
        <w:rPr>
          <w:rFonts w:eastAsia="仿宋"/>
          <w:color w:val="FF0000"/>
          <w:sz w:val="28"/>
          <w:szCs w:val="28"/>
        </w:rPr>
      </w:pPr>
      <w:r>
        <w:rPr>
          <w:rFonts w:eastAsia="仿宋"/>
          <w:color w:val="FF0000"/>
          <w:sz w:val="28"/>
          <w:szCs w:val="28"/>
        </w:rPr>
        <w:drawing>
          <wp:inline distT="0" distB="0" distL="114300" distR="114300">
            <wp:extent cx="7296150" cy="5236845"/>
            <wp:effectExtent l="0" t="0" r="1905" b="0"/>
            <wp:docPr id="27" name="图片 27" descr="风向标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风向标图"/>
                    <pic:cNvPicPr>
                      <a:picLocks noChangeAspect="1"/>
                    </pic:cNvPicPr>
                  </pic:nvPicPr>
                  <pic:blipFill>
                    <a:blip r:embed="rId46"/>
                    <a:srcRect t="7677"/>
                    <a:stretch>
                      <a:fillRect/>
                    </a:stretch>
                  </pic:blipFill>
                  <pic:spPr>
                    <a:xfrm rot="16200000">
                      <a:off x="0" y="0"/>
                      <a:ext cx="7296150" cy="5236845"/>
                    </a:xfrm>
                    <a:prstGeom prst="rect">
                      <a:avLst/>
                    </a:prstGeom>
                  </pic:spPr>
                </pic:pic>
              </a:graphicData>
            </a:graphic>
          </wp:inline>
        </w:drawing>
      </w:r>
    </w:p>
    <w:p>
      <w:pPr>
        <w:rPr>
          <w:rFonts w:eastAsia="仿宋"/>
          <w:color w:val="FF0000"/>
          <w:sz w:val="28"/>
          <w:szCs w:val="28"/>
        </w:rPr>
      </w:pPr>
      <w:r>
        <w:rPr>
          <w:rFonts w:eastAsia="仿宋"/>
          <w:color w:val="FF0000"/>
          <w:sz w:val="28"/>
          <w:szCs w:val="28"/>
        </w:rPr>
        <w:br w:type="page"/>
      </w:r>
    </w:p>
    <w:p>
      <w:pPr>
        <w:rPr>
          <w:rFonts w:eastAsia="仿宋"/>
          <w:sz w:val="28"/>
          <w:szCs w:val="28"/>
        </w:rPr>
      </w:pPr>
      <w:r>
        <w:rPr>
          <w:rFonts w:eastAsia="仿宋"/>
          <w:sz w:val="28"/>
          <w:szCs w:val="28"/>
        </w:rPr>
        <w:t>附件F</w:t>
      </w:r>
      <w:r>
        <w:rPr>
          <w:rFonts w:hint="eastAsia" w:eastAsia="仿宋"/>
          <w:sz w:val="28"/>
          <w:szCs w:val="28"/>
          <w:lang w:val="en-US" w:eastAsia="zh-CN"/>
        </w:rPr>
        <w:t>12</w:t>
      </w:r>
      <w:r>
        <w:rPr>
          <w:rFonts w:eastAsia="仿宋"/>
          <w:sz w:val="28"/>
          <w:szCs w:val="28"/>
        </w:rPr>
        <w:t>：企业平面布置</w:t>
      </w:r>
    </w:p>
    <w:p>
      <w:pPr>
        <w:widowControl/>
        <w:jc w:val="center"/>
      </w:pPr>
      <w:r>
        <w:rPr>
          <w:rFonts w:ascii="宋体" w:hAnsi="宋体" w:cs="宋体"/>
          <w:kern w:val="0"/>
          <w:sz w:val="24"/>
          <w:szCs w:val="24"/>
        </w:rPr>
        <w:drawing>
          <wp:inline distT="0" distB="0" distL="114300" distR="114300">
            <wp:extent cx="7251700" cy="5334000"/>
            <wp:effectExtent l="0" t="0" r="0" b="6350"/>
            <wp:docPr id="16" name="图片 3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5" descr="IMG_256"/>
                    <pic:cNvPicPr>
                      <a:picLocks noChangeAspect="1"/>
                    </pic:cNvPicPr>
                  </pic:nvPicPr>
                  <pic:blipFill>
                    <a:blip r:embed="rId47"/>
                    <a:stretch>
                      <a:fillRect/>
                    </a:stretch>
                  </pic:blipFill>
                  <pic:spPr>
                    <a:xfrm rot="-5400000">
                      <a:off x="0" y="0"/>
                      <a:ext cx="7251700" cy="5334000"/>
                    </a:xfrm>
                    <a:prstGeom prst="rect">
                      <a:avLst/>
                    </a:prstGeom>
                    <a:noFill/>
                    <a:ln>
                      <a:noFill/>
                    </a:ln>
                  </pic:spPr>
                </pic:pic>
              </a:graphicData>
            </a:graphic>
          </wp:inline>
        </w:drawing>
      </w:r>
    </w:p>
    <w:p>
      <w:pPr>
        <w:sectPr>
          <w:pgSz w:w="11906" w:h="16838"/>
          <w:pgMar w:top="1440" w:right="1800" w:bottom="1440" w:left="1800" w:header="1077" w:footer="1191" w:gutter="0"/>
          <w:pgBorders>
            <w:top w:val="none" w:sz="0" w:space="0"/>
            <w:left w:val="none" w:sz="0" w:space="0"/>
            <w:bottom w:val="none" w:sz="0" w:space="0"/>
            <w:right w:val="none" w:sz="0" w:space="0"/>
          </w:pgBorders>
          <w:cols w:space="720" w:num="1"/>
          <w:docGrid w:type="lines" w:linePitch="312" w:charSpace="0"/>
        </w:sectPr>
      </w:pPr>
    </w:p>
    <w:p>
      <w:pPr>
        <w:rPr>
          <w:rFonts w:eastAsia="仿宋"/>
          <w:sz w:val="28"/>
          <w:szCs w:val="28"/>
        </w:rPr>
      </w:pPr>
      <w:r>
        <w:rPr>
          <w:rFonts w:eastAsia="仿宋"/>
          <w:sz w:val="28"/>
          <w:szCs w:val="28"/>
        </w:rPr>
        <w:t>附件F</w:t>
      </w:r>
      <w:r>
        <w:rPr>
          <w:rFonts w:hint="eastAsia" w:eastAsia="仿宋"/>
          <w:sz w:val="28"/>
          <w:szCs w:val="28"/>
          <w:lang w:val="en-US" w:eastAsia="zh-CN"/>
        </w:rPr>
        <w:t>13</w:t>
      </w:r>
      <w:r>
        <w:rPr>
          <w:rFonts w:eastAsia="仿宋"/>
          <w:sz w:val="28"/>
          <w:szCs w:val="28"/>
        </w:rPr>
        <w:t>：企业分区防渗</w:t>
      </w:r>
    </w:p>
    <w:p>
      <w:pPr>
        <w:widowControl/>
        <w:jc w:val="center"/>
        <w:rPr>
          <w:rFonts w:eastAsia="仿宋"/>
          <w:sz w:val="28"/>
          <w:szCs w:val="28"/>
        </w:rPr>
      </w:pPr>
      <w:r>
        <w:rPr>
          <w:rFonts w:ascii="宋体" w:hAnsi="宋体" w:cs="宋体"/>
          <w:kern w:val="0"/>
          <w:sz w:val="24"/>
          <w:szCs w:val="24"/>
        </w:rPr>
        <w:drawing>
          <wp:inline distT="0" distB="0" distL="114300" distR="114300">
            <wp:extent cx="7912100" cy="5626100"/>
            <wp:effectExtent l="0" t="0" r="12700" b="12700"/>
            <wp:docPr id="17" name="图片 3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6" descr="IMG_256"/>
                    <pic:cNvPicPr>
                      <a:picLocks noChangeAspect="1"/>
                    </pic:cNvPicPr>
                  </pic:nvPicPr>
                  <pic:blipFill>
                    <a:blip r:embed="rId48"/>
                    <a:stretch>
                      <a:fillRect/>
                    </a:stretch>
                  </pic:blipFill>
                  <pic:spPr>
                    <a:xfrm rot="-5400000">
                      <a:off x="0" y="0"/>
                      <a:ext cx="7912100" cy="5626100"/>
                    </a:xfrm>
                    <a:prstGeom prst="rect">
                      <a:avLst/>
                    </a:prstGeom>
                    <a:noFill/>
                    <a:ln>
                      <a:noFill/>
                    </a:ln>
                  </pic:spPr>
                </pic:pic>
              </a:graphicData>
            </a:graphic>
          </wp:inline>
        </w:drawing>
      </w:r>
    </w:p>
    <w:p>
      <w:pPr>
        <w:widowControl/>
        <w:jc w:val="center"/>
      </w:pPr>
    </w:p>
    <w:bookmarkEnd w:id="157"/>
    <w:p>
      <w:pPr>
        <w:widowControl/>
        <w:jc w:val="left"/>
        <w:rPr>
          <w:rFonts w:eastAsia="仿宋_GB2312"/>
          <w:sz w:val="28"/>
          <w:szCs w:val="28"/>
        </w:rPr>
      </w:pPr>
    </w:p>
    <w:p>
      <w:pPr>
        <w:widowControl/>
        <w:jc w:val="left"/>
        <w:rPr>
          <w:rFonts w:eastAsia="仿宋"/>
          <w:sz w:val="28"/>
          <w:szCs w:val="28"/>
        </w:rPr>
      </w:pPr>
      <w:r>
        <w:rPr>
          <w:rFonts w:eastAsia="仿宋"/>
          <w:sz w:val="28"/>
          <w:szCs w:val="28"/>
        </w:rPr>
        <w:t>附件F1</w:t>
      </w:r>
      <w:r>
        <w:rPr>
          <w:rFonts w:hint="eastAsia" w:eastAsia="仿宋"/>
          <w:sz w:val="28"/>
          <w:szCs w:val="28"/>
          <w:lang w:val="en-US" w:eastAsia="zh-CN"/>
        </w:rPr>
        <w:t>4</w:t>
      </w:r>
      <w:r>
        <w:rPr>
          <w:rFonts w:eastAsia="仿宋"/>
          <w:sz w:val="28"/>
          <w:szCs w:val="28"/>
        </w:rPr>
        <w:t>：</w:t>
      </w:r>
      <w:bookmarkStart w:id="160" w:name="_Hlk99740729"/>
      <w:r>
        <w:rPr>
          <w:rFonts w:eastAsia="仿宋"/>
          <w:sz w:val="28"/>
          <w:szCs w:val="28"/>
        </w:rPr>
        <w:t>主要化学品理化性质情况</w:t>
      </w:r>
      <w:bookmarkEnd w:id="160"/>
    </w:p>
    <w:p>
      <w:pPr>
        <w:pStyle w:val="137"/>
        <w:spacing w:before="120" w:after="120"/>
        <w:rPr>
          <w:rFonts w:ascii="仿宋" w:hAnsi="仿宋" w:eastAsia="仿宋" w:cs="仿宋"/>
          <w:bCs/>
          <w:snapToGrid w:val="0"/>
          <w:color w:val="auto"/>
          <w:sz w:val="28"/>
          <w:szCs w:val="28"/>
        </w:rPr>
      </w:pPr>
      <w:r>
        <w:rPr>
          <w:rFonts w:hint="eastAsia" w:ascii="仿宋" w:hAnsi="仿宋" w:eastAsia="仿宋" w:cs="仿宋"/>
          <w:bCs/>
          <w:snapToGrid w:val="0"/>
          <w:color w:val="auto"/>
          <w:sz w:val="28"/>
          <w:szCs w:val="28"/>
        </w:rPr>
        <w:t>物质性质一览表—黄磷</w:t>
      </w:r>
    </w:p>
    <w:tbl>
      <w:tblPr>
        <w:tblStyle w:val="35"/>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Layout w:type="fixed"/>
        <w:tblCellMar>
          <w:top w:w="0" w:type="dxa"/>
          <w:left w:w="0" w:type="dxa"/>
          <w:bottom w:w="0" w:type="dxa"/>
          <w:right w:w="0" w:type="dxa"/>
        </w:tblCellMar>
      </w:tblPr>
      <w:tblGrid>
        <w:gridCol w:w="1183"/>
        <w:gridCol w:w="3574"/>
        <w:gridCol w:w="1430"/>
        <w:gridCol w:w="277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国标编号</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eastAsia="zh-CN"/>
              </w:rPr>
              <w:t>42001</w:t>
            </w:r>
          </w:p>
        </w:tc>
        <w:tc>
          <w:tcPr>
            <w:tcW w:w="1430" w:type="dxa"/>
            <w:shd w:val="clear" w:color="auto" w:fill="FFFFFF"/>
            <w:noWrap/>
            <w:vAlign w:val="center"/>
          </w:tcPr>
          <w:p>
            <w:pPr>
              <w:pStyle w:val="18"/>
              <w:jc w:val="center"/>
              <w:rPr>
                <w:rFonts w:eastAsia="仿宋"/>
                <w:b/>
                <w:bCs/>
                <w:sz w:val="21"/>
                <w:szCs w:val="21"/>
              </w:rPr>
            </w:pPr>
            <w:r>
              <w:rPr>
                <w:rStyle w:val="139"/>
                <w:rFonts w:ascii="Times New Roman" w:eastAsia="仿宋" w:cs="Times New Roman"/>
                <w:b/>
                <w:bCs/>
                <w:sz w:val="21"/>
                <w:szCs w:val="21"/>
              </w:rPr>
              <w:t>CAS</w:t>
            </w:r>
            <w:r>
              <w:rPr>
                <w:rStyle w:val="138"/>
                <w:rFonts w:ascii="Times New Roman" w:eastAsia="仿宋" w:cs="Times New Roman"/>
                <w:b/>
                <w:bCs/>
                <w:spacing w:val="0"/>
                <w:lang w:val="zh-TW" w:eastAsia="zh-TW"/>
              </w:rPr>
              <w:t>号</w:t>
            </w:r>
          </w:p>
        </w:tc>
        <w:tc>
          <w:tcPr>
            <w:tcW w:w="2770" w:type="dxa"/>
            <w:shd w:val="clear" w:color="auto" w:fill="FFFFFF"/>
            <w:noWrap/>
            <w:vAlign w:val="center"/>
          </w:tcPr>
          <w:p>
            <w:pPr>
              <w:pStyle w:val="18"/>
              <w:jc w:val="center"/>
              <w:rPr>
                <w:rFonts w:eastAsia="仿宋"/>
                <w:sz w:val="21"/>
                <w:szCs w:val="21"/>
              </w:rPr>
            </w:pPr>
            <w:r>
              <w:rPr>
                <w:rFonts w:eastAsia="仿宋"/>
                <w:sz w:val="21"/>
                <w:szCs w:val="21"/>
              </w:rPr>
              <w:t>12185-10-3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中文名称</w:t>
            </w:r>
          </w:p>
        </w:tc>
        <w:tc>
          <w:tcPr>
            <w:tcW w:w="3574"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白磷</w:t>
            </w:r>
            <w:r>
              <w:rPr>
                <w:rStyle w:val="138"/>
                <w:rFonts w:ascii="Times New Roman" w:eastAsia="仿宋" w:cs="Times New Roman"/>
                <w:spacing w:val="0"/>
                <w:lang w:val="zh-TW"/>
              </w:rPr>
              <w:t>；</w:t>
            </w:r>
            <w:r>
              <w:rPr>
                <w:rStyle w:val="138"/>
                <w:rFonts w:ascii="Times New Roman" w:eastAsia="仿宋" w:cs="Times New Roman"/>
                <w:spacing w:val="0"/>
                <w:lang w:val="zh-TW" w:eastAsia="zh-TW"/>
              </w:rPr>
              <w:t>黄磷</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英文名称</w:t>
            </w:r>
          </w:p>
        </w:tc>
        <w:tc>
          <w:tcPr>
            <w:tcW w:w="2770" w:type="dxa"/>
            <w:shd w:val="clear" w:color="auto" w:fill="FFFFFF"/>
            <w:noWrap/>
            <w:vAlign w:val="center"/>
          </w:tcPr>
          <w:p>
            <w:pPr>
              <w:pStyle w:val="18"/>
              <w:jc w:val="center"/>
              <w:rPr>
                <w:rStyle w:val="139"/>
                <w:rFonts w:ascii="Times New Roman" w:eastAsia="仿宋" w:cs="Times New Roman"/>
                <w:sz w:val="21"/>
                <w:szCs w:val="21"/>
              </w:rPr>
            </w:pPr>
            <w:r>
              <w:rPr>
                <w:rStyle w:val="139"/>
                <w:rFonts w:ascii="Times New Roman" w:eastAsia="仿宋" w:cs="Times New Roman"/>
                <w:sz w:val="21"/>
                <w:szCs w:val="21"/>
              </w:rPr>
              <w:t xml:space="preserve"> phosphorus white；</w:t>
            </w:r>
          </w:p>
          <w:p>
            <w:pPr>
              <w:pStyle w:val="18"/>
              <w:jc w:val="center"/>
              <w:rPr>
                <w:rFonts w:eastAsia="仿宋"/>
                <w:sz w:val="21"/>
                <w:szCs w:val="21"/>
              </w:rPr>
            </w:pPr>
            <w:r>
              <w:rPr>
                <w:rStyle w:val="139"/>
                <w:rFonts w:ascii="Times New Roman" w:eastAsia="仿宋" w:cs="Times New Roman"/>
                <w:sz w:val="21"/>
                <w:szCs w:val="21"/>
              </w:rPr>
              <w:t>phosphorus yellow</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分子式</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eastAsia="zh-CN"/>
              </w:rPr>
              <w:t>P</w:t>
            </w:r>
            <w:r>
              <w:rPr>
                <w:rStyle w:val="139"/>
                <w:rFonts w:ascii="Times New Roman" w:eastAsia="仿宋" w:cs="Times New Roman"/>
                <w:sz w:val="21"/>
                <w:szCs w:val="21"/>
                <w:vertAlign w:val="subscript"/>
                <w:lang w:eastAsia="zh-CN"/>
              </w:rPr>
              <w:t>4</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外观与性状</w:t>
            </w:r>
          </w:p>
        </w:tc>
        <w:tc>
          <w:tcPr>
            <w:tcW w:w="2770"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无色至黄色蜡状固体， 有蒜臭味， 在暗处发淡绿色磷光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分子量</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eastAsia="zh-CN"/>
              </w:rPr>
              <w:t>123.9</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蒸汽压</w:t>
            </w:r>
          </w:p>
        </w:tc>
        <w:tc>
          <w:tcPr>
            <w:tcW w:w="2770"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eastAsia="zh-CN"/>
              </w:rPr>
              <w:t xml:space="preserve">0.3 </w:t>
            </w:r>
            <w:r>
              <w:rPr>
                <w:rStyle w:val="139"/>
                <w:rFonts w:ascii="Times New Roman" w:eastAsia="仿宋" w:cs="Times New Roman"/>
                <w:sz w:val="21"/>
                <w:szCs w:val="21"/>
              </w:rPr>
              <w:t>kPa(</w:t>
            </w:r>
            <w:r>
              <w:rPr>
                <w:rStyle w:val="139"/>
                <w:rFonts w:ascii="Times New Roman" w:eastAsia="仿宋" w:cs="Times New Roman"/>
                <w:sz w:val="21"/>
                <w:szCs w:val="21"/>
                <w:lang w:eastAsia="zh-CN"/>
              </w:rPr>
              <w:t>76.6</w:t>
            </w:r>
            <w:r>
              <w:rPr>
                <w:rStyle w:val="138"/>
                <w:rFonts w:ascii="Times New Roman" w:eastAsia="仿宋" w:cs="Times New Roman"/>
                <w:spacing w:val="0"/>
              </w:rPr>
              <w:t>℃</w:t>
            </w:r>
            <w:r>
              <w:rPr>
                <w:rStyle w:val="138"/>
                <w:rFonts w:ascii="Times New Roman" w:eastAsia="仿宋" w:cs="Times New Roman"/>
                <w:spacing w:val="0"/>
                <w:lang w:eastAsia="en-US"/>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熔点</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val="zh-TW" w:eastAsia="zh-TW"/>
              </w:rPr>
              <w:t>熔点（℃）： 44. 1沸点（℃）： 280. 5</w:t>
            </w:r>
          </w:p>
        </w:tc>
        <w:tc>
          <w:tcPr>
            <w:tcW w:w="1430" w:type="dxa"/>
            <w:shd w:val="clear" w:color="auto" w:fill="FFFFFF"/>
            <w:noWrap/>
            <w:vAlign w:val="center"/>
          </w:tcPr>
          <w:p>
            <w:pPr>
              <w:pStyle w:val="18"/>
              <w:jc w:val="center"/>
              <w:rPr>
                <w:rFonts w:eastAsia="仿宋"/>
                <w:b/>
                <w:bCs/>
                <w:sz w:val="21"/>
                <w:szCs w:val="21"/>
              </w:rPr>
            </w:pPr>
            <w:r>
              <w:rPr>
                <w:rStyle w:val="140"/>
                <w:rFonts w:ascii="Times New Roman" w:eastAsia="仿宋" w:cs="Times New Roman"/>
                <w:b/>
                <w:bCs/>
                <w:spacing w:val="0"/>
                <w:lang w:val="zh-TW" w:eastAsia="zh-TW"/>
              </w:rPr>
              <w:t>稳定性</w:t>
            </w:r>
          </w:p>
        </w:tc>
        <w:tc>
          <w:tcPr>
            <w:tcW w:w="2770" w:type="dxa"/>
            <w:shd w:val="clear" w:color="auto" w:fill="FFFFFF"/>
            <w:noWrap/>
            <w:vAlign w:val="center"/>
          </w:tcPr>
          <w:p>
            <w:pPr>
              <w:pStyle w:val="18"/>
              <w:jc w:val="center"/>
              <w:rPr>
                <w:rFonts w:eastAsia="仿宋"/>
                <w:sz w:val="21"/>
                <w:szCs w:val="21"/>
              </w:rPr>
            </w:pPr>
            <w:r>
              <w:rPr>
                <w:rStyle w:val="140"/>
                <w:rFonts w:ascii="Times New Roman" w:eastAsia="仿宋" w:cs="Times New Roman"/>
                <w:spacing w:val="0"/>
                <w:lang w:val="zh-TW"/>
              </w:rPr>
              <w:t>不</w:t>
            </w:r>
            <w:r>
              <w:rPr>
                <w:rStyle w:val="140"/>
                <w:rFonts w:ascii="Times New Roman" w:eastAsia="仿宋" w:cs="Times New Roman"/>
                <w:spacing w:val="0"/>
                <w:lang w:val="zh-TW" w:eastAsia="zh-TW"/>
              </w:rPr>
              <w:t>稳定</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40"/>
                <w:rFonts w:ascii="Times New Roman" w:eastAsia="仿宋" w:cs="Times New Roman"/>
                <w:b/>
                <w:bCs/>
                <w:spacing w:val="0"/>
                <w:lang w:val="zh-TW" w:eastAsia="zh-TW"/>
              </w:rPr>
              <w:t>密度</w:t>
            </w:r>
          </w:p>
        </w:tc>
        <w:tc>
          <w:tcPr>
            <w:tcW w:w="3574" w:type="dxa"/>
            <w:shd w:val="clear" w:color="auto" w:fill="FFFFFF"/>
            <w:noWrap/>
            <w:vAlign w:val="center"/>
          </w:tcPr>
          <w:p>
            <w:pPr>
              <w:pStyle w:val="18"/>
              <w:jc w:val="center"/>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相对密度（水=1）： 1. 82</w:t>
            </w:r>
          </w:p>
          <w:p>
            <w:pPr>
              <w:pStyle w:val="18"/>
              <w:jc w:val="center"/>
              <w:rPr>
                <w:rFonts w:eastAsia="仿宋"/>
                <w:sz w:val="21"/>
                <w:szCs w:val="21"/>
              </w:rPr>
            </w:pPr>
            <w:r>
              <w:rPr>
                <w:rStyle w:val="138"/>
                <w:rFonts w:ascii="Times New Roman" w:eastAsia="仿宋" w:cs="Times New Roman"/>
                <w:spacing w:val="0"/>
                <w:lang w:val="zh-TW" w:eastAsia="zh-TW"/>
              </w:rPr>
              <w:t>相对密度(空气=1) ： 4. 42</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溶解性</w:t>
            </w:r>
          </w:p>
        </w:tc>
        <w:tc>
          <w:tcPr>
            <w:tcW w:w="2770"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不溶于水， 微溶于苯、氯仿， 易溶于二硫化碳</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危险标记</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val="zh-TW" w:eastAsia="zh-TW"/>
              </w:rPr>
              <w:t>第 4. 2 类自燃物品</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主要用途</w:t>
            </w:r>
          </w:p>
        </w:tc>
        <w:tc>
          <w:tcPr>
            <w:tcW w:w="2770"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主要用作特种火柴原料， 以及用于磷酸、 磷酸盐及农药、 信号弹等的制造</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侵入途径</w:t>
            </w:r>
          </w:p>
        </w:tc>
        <w:tc>
          <w:tcPr>
            <w:tcW w:w="7774" w:type="dxa"/>
            <w:gridSpan w:val="3"/>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吸入</w:t>
            </w:r>
            <w:r>
              <w:rPr>
                <w:rStyle w:val="138"/>
                <w:rFonts w:ascii="Times New Roman" w:eastAsia="仿宋" w:cs="Times New Roman"/>
                <w:spacing w:val="0"/>
                <w:lang w:val="zh-TW"/>
              </w:rPr>
              <w:t>、 食入、 经皮吸收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健康危害</w:t>
            </w:r>
          </w:p>
        </w:tc>
        <w:tc>
          <w:tcPr>
            <w:tcW w:w="7774"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急性吸入中毒表现有呼吸道刺激症状、 头痛、头晕、 全身无力、 呕吐、 心动过缓、 上腹疼痛、 黄疸、 肝肿大。 重症出现急性肝坏死、 中毒性肺水肿等。 口服中毒出现口腔糜烂、 急性胃肠炎、 甚至发生食道、 胃穿孔。 数天后出现肝、 肾损害。 重者发生肝、 肾功能衰竭等。 本品可致皮肤约伤， 鳞经约伤皮肤吸收引起中毒， 重者发生中毒性肝病、 肾损害、 急性溶血等， 以致死亡。 慢性中毒：神经衰弱综合症、 消化功能紊乱、 中毒性肝病。 引起骨骼损害， 尤以下颌骨显著， 后期出现下颌骨坏死及齿槽萎缩。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毒性</w:t>
            </w:r>
          </w:p>
        </w:tc>
        <w:tc>
          <w:tcPr>
            <w:tcW w:w="7774" w:type="dxa"/>
            <w:gridSpan w:val="3"/>
            <w:shd w:val="clear" w:color="auto" w:fill="FFFFFF"/>
            <w:noWrap/>
            <w:vAlign w:val="center"/>
          </w:tcPr>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急性毒性： LD 50 3. 03mg/kg（大鼠吸口）；</w:t>
            </w:r>
          </w:p>
          <w:p>
            <w:pPr>
              <w:pStyle w:val="18"/>
              <w:jc w:val="left"/>
              <w:rPr>
                <w:rFonts w:eastAsia="仿宋"/>
                <w:sz w:val="21"/>
                <w:szCs w:val="21"/>
              </w:rPr>
            </w:pPr>
            <w:r>
              <w:rPr>
                <w:rStyle w:val="138"/>
                <w:rFonts w:ascii="Times New Roman" w:eastAsia="仿宋" w:cs="Times New Roman"/>
                <w:spacing w:val="0"/>
                <w:lang w:val="zh-TW" w:eastAsia="zh-TW"/>
              </w:rPr>
              <w:t>环境危害： 该物质对环境有危害， 对水体和鱼类应给予特别注意。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危险特性</w:t>
            </w:r>
          </w:p>
        </w:tc>
        <w:tc>
          <w:tcPr>
            <w:tcW w:w="7774"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 xml:space="preserve"> 白磷接触空气能自燃并引起燃烧和爆炸。 在潮湿空气中的自燃点低于在干燥空气中的自燃点。 与氯酸盐等氧化剂混合发生爆炸。 其碎片和碎屑接触皮肤干燥后即着火， 可引起严重的皮肤灼伤。</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泄漏应急 处理</w:t>
            </w:r>
          </w:p>
        </w:tc>
        <w:tc>
          <w:tcPr>
            <w:tcW w:w="7774"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隔离泄漏污染区</w:t>
            </w:r>
            <w:r>
              <w:rPr>
                <w:rStyle w:val="138"/>
                <w:rFonts w:ascii="Times New Roman" w:eastAsia="仿宋" w:cs="Times New Roman"/>
                <w:spacing w:val="0"/>
                <w:lang w:val="zh-TW"/>
              </w:rPr>
              <w:t>，</w:t>
            </w:r>
            <w:r>
              <w:rPr>
                <w:rStyle w:val="138"/>
                <w:rFonts w:ascii="Times New Roman" w:eastAsia="仿宋" w:cs="Times New Roman"/>
                <w:spacing w:val="0"/>
                <w:lang w:val="zh-TW" w:eastAsia="zh-TW"/>
              </w:rPr>
              <w:t>限制出入</w:t>
            </w:r>
            <w:r>
              <w:rPr>
                <w:rStyle w:val="138"/>
                <w:rFonts w:ascii="Times New Roman" w:eastAsia="仿宋" w:cs="Times New Roman"/>
                <w:spacing w:val="0"/>
                <w:lang w:val="zh-TW"/>
              </w:rPr>
              <w:t>。</w:t>
            </w:r>
            <w:r>
              <w:rPr>
                <w:rStyle w:val="138"/>
                <w:rFonts w:ascii="Times New Roman" w:eastAsia="仿宋" w:cs="Times New Roman"/>
                <w:spacing w:val="0"/>
                <w:lang w:val="zh-TW" w:eastAsia="zh-TW"/>
              </w:rPr>
              <w:t>切断火源</w:t>
            </w:r>
            <w:r>
              <w:rPr>
                <w:rStyle w:val="138"/>
                <w:rFonts w:ascii="Times New Roman" w:eastAsia="仿宋" w:cs="Times New Roman"/>
                <w:spacing w:val="0"/>
                <w:lang w:val="zh-TW"/>
              </w:rPr>
              <w:t>。</w:t>
            </w:r>
            <w:r>
              <w:rPr>
                <w:rStyle w:val="138"/>
                <w:rFonts w:ascii="Times New Roman" w:eastAsia="仿宋" w:cs="Times New Roman"/>
                <w:spacing w:val="0"/>
                <w:lang w:val="zh-TW" w:eastAsia="zh-TW"/>
              </w:rPr>
              <w:t>建议应急处理人员戴自给正压式呼吸器</w:t>
            </w:r>
            <w:r>
              <w:rPr>
                <w:rStyle w:val="138"/>
                <w:rFonts w:ascii="Times New Roman" w:eastAsia="仿宋" w:cs="Times New Roman"/>
                <w:spacing w:val="0"/>
                <w:lang w:val="zh-TW"/>
              </w:rPr>
              <w:t>，</w:t>
            </w:r>
            <w:r>
              <w:rPr>
                <w:rStyle w:val="138"/>
                <w:rFonts w:ascii="Times New Roman" w:eastAsia="仿宋" w:cs="Times New Roman"/>
                <w:spacing w:val="0"/>
                <w:lang w:val="zh-TW" w:eastAsia="zh-TW"/>
              </w:rPr>
              <w:t>穿防毒服</w:t>
            </w:r>
            <w:r>
              <w:rPr>
                <w:rStyle w:val="138"/>
                <w:rFonts w:ascii="Times New Roman" w:eastAsia="仿宋" w:cs="Times New Roman"/>
                <w:spacing w:val="0"/>
                <w:lang w:val="zh-TW"/>
              </w:rPr>
              <w:t>。</w:t>
            </w:r>
            <w:r>
              <w:rPr>
                <w:rStyle w:val="138"/>
                <w:rFonts w:ascii="Times New Roman" w:eastAsia="仿宋" w:cs="Times New Roman"/>
                <w:spacing w:val="0"/>
                <w:lang w:val="zh-TW" w:eastAsia="zh-TW"/>
              </w:rPr>
              <w:t>不要直接接触泄漏物</w:t>
            </w:r>
            <w:r>
              <w:rPr>
                <w:rStyle w:val="138"/>
                <w:rFonts w:ascii="Times New Roman" w:eastAsia="仿宋" w:cs="Times New Roman"/>
                <w:spacing w:val="0"/>
                <w:lang w:val="zh-TW"/>
              </w:rPr>
              <w:t>。</w:t>
            </w:r>
            <w:r>
              <w:rPr>
                <w:rStyle w:val="138"/>
                <w:rFonts w:ascii="Times New Roman" w:eastAsia="仿宋" w:cs="Times New Roman"/>
                <w:spacing w:val="0"/>
                <w:lang w:val="zh-TW" w:eastAsia="zh-TW"/>
              </w:rPr>
              <w:t>小量泄漏</w:t>
            </w:r>
            <w:r>
              <w:rPr>
                <w:rStyle w:val="138"/>
                <w:rFonts w:ascii="Times New Roman" w:eastAsia="仿宋" w:cs="Times New Roman"/>
                <w:spacing w:val="0"/>
                <w:lang w:val="zh-TW"/>
              </w:rPr>
              <w:t>：</w:t>
            </w:r>
            <w:r>
              <w:rPr>
                <w:rStyle w:val="138"/>
                <w:rFonts w:ascii="Times New Roman" w:eastAsia="仿宋" w:cs="Times New Roman"/>
                <w:spacing w:val="0"/>
                <w:lang w:val="zh-TW" w:eastAsia="zh-TW"/>
              </w:rPr>
              <w:t>用水</w:t>
            </w:r>
            <w:r>
              <w:rPr>
                <w:rStyle w:val="138"/>
                <w:rFonts w:ascii="Times New Roman" w:eastAsia="仿宋" w:cs="Times New Roman"/>
                <w:spacing w:val="0"/>
                <w:lang w:val="zh-TW"/>
              </w:rPr>
              <w:t>、</w:t>
            </w:r>
            <w:r>
              <w:rPr>
                <w:rStyle w:val="138"/>
                <w:rFonts w:ascii="Times New Roman" w:eastAsia="仿宋" w:cs="Times New Roman"/>
                <w:spacing w:val="0"/>
                <w:lang w:val="zh-TW" w:eastAsia="zh-TW"/>
              </w:rPr>
              <w:t>潮湿的沙或泥土覆盖</w:t>
            </w:r>
            <w:r>
              <w:rPr>
                <w:rStyle w:val="138"/>
                <w:rFonts w:ascii="Times New Roman" w:eastAsia="仿宋" w:cs="Times New Roman"/>
                <w:spacing w:val="0"/>
                <w:lang w:val="zh-TW"/>
              </w:rPr>
              <w:t>。</w:t>
            </w:r>
            <w:r>
              <w:rPr>
                <w:rStyle w:val="138"/>
                <w:rFonts w:ascii="Times New Roman" w:eastAsia="仿宋" w:cs="Times New Roman"/>
                <w:spacing w:val="0"/>
                <w:lang w:val="zh-TW" w:eastAsia="zh-TW"/>
              </w:rPr>
              <w:t>收入金属容器并保存于水或矿物油中</w:t>
            </w:r>
            <w:r>
              <w:rPr>
                <w:rStyle w:val="138"/>
                <w:rFonts w:ascii="Times New Roman" w:eastAsia="仿宋" w:cs="Times New Roman"/>
                <w:spacing w:val="0"/>
                <w:lang w:val="zh-TW"/>
              </w:rPr>
              <w:t>。</w:t>
            </w:r>
            <w:r>
              <w:rPr>
                <w:rStyle w:val="138"/>
                <w:rFonts w:ascii="Times New Roman" w:eastAsia="仿宋" w:cs="Times New Roman"/>
                <w:spacing w:val="0"/>
                <w:lang w:val="zh-TW" w:eastAsia="zh-TW"/>
              </w:rPr>
              <w:t>大量泄漏</w:t>
            </w:r>
            <w:r>
              <w:rPr>
                <w:rStyle w:val="138"/>
                <w:rFonts w:ascii="Times New Roman" w:eastAsia="仿宋" w:cs="Times New Roman"/>
                <w:spacing w:val="0"/>
                <w:lang w:val="zh-TW"/>
              </w:rPr>
              <w:t>：</w:t>
            </w:r>
            <w:r>
              <w:rPr>
                <w:rStyle w:val="138"/>
                <w:rFonts w:ascii="Times New Roman" w:eastAsia="仿宋" w:cs="Times New Roman"/>
                <w:spacing w:val="0"/>
                <w:lang w:val="zh-TW" w:eastAsia="zh-TW"/>
              </w:rPr>
              <w:t>在专家指导下清除</w:t>
            </w:r>
            <w:r>
              <w:rPr>
                <w:rStyle w:val="138"/>
                <w:rFonts w:ascii="Times New Roman" w:eastAsia="仿宋" w:cs="Times New Roman"/>
                <w:spacing w:val="0"/>
                <w:lang w:val="zh-TW"/>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防护措施</w:t>
            </w:r>
          </w:p>
        </w:tc>
        <w:tc>
          <w:tcPr>
            <w:tcW w:w="7774" w:type="dxa"/>
            <w:gridSpan w:val="3"/>
            <w:shd w:val="clear" w:color="auto" w:fill="FFFFFF"/>
            <w:noWrap/>
            <w:vAlign w:val="center"/>
          </w:tcPr>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车间卫生标准</w:t>
            </w:r>
            <w:r>
              <w:rPr>
                <w:rStyle w:val="138"/>
                <w:rFonts w:ascii="Times New Roman" w:eastAsia="仿宋" w:cs="Times New Roman"/>
                <w:spacing w:val="0"/>
                <w:lang w:val="zh-TW"/>
              </w:rPr>
              <w:t>：</w:t>
            </w:r>
            <w:r>
              <w:rPr>
                <w:rStyle w:val="138"/>
                <w:rFonts w:ascii="Times New Roman" w:eastAsia="仿宋" w:cs="Times New Roman"/>
                <w:spacing w:val="0"/>
                <w:lang w:val="zh-TW" w:eastAsia="zh-TW"/>
              </w:rPr>
              <w:t>中国MAC（mg/m</w:t>
            </w:r>
            <w:r>
              <w:rPr>
                <w:rStyle w:val="138"/>
                <w:rFonts w:ascii="Times New Roman" w:eastAsia="仿宋" w:cs="Times New Roman"/>
                <w:spacing w:val="0"/>
                <w:vertAlign w:val="superscript"/>
                <w:lang w:val="zh-TW" w:eastAsia="zh-TW"/>
              </w:rPr>
              <w:t>3</w:t>
            </w:r>
            <w:r>
              <w:rPr>
                <w:rStyle w:val="138"/>
                <w:rFonts w:ascii="Times New Roman" w:eastAsia="仿宋" w:cs="Times New Roman"/>
                <w:spacing w:val="0"/>
                <w:lang w:val="zh-TW" w:eastAsia="zh-TW"/>
              </w:rPr>
              <w:t>）</w:t>
            </w:r>
            <w:r>
              <w:rPr>
                <w:rStyle w:val="138"/>
                <w:rFonts w:ascii="Times New Roman" w:eastAsia="仿宋" w:cs="Times New Roman"/>
                <w:spacing w:val="0"/>
                <w:lang w:val="zh-TW"/>
              </w:rPr>
              <w:t>：</w:t>
            </w:r>
            <w:r>
              <w:rPr>
                <w:rStyle w:val="138"/>
                <w:rFonts w:ascii="Times New Roman" w:eastAsia="仿宋" w:cs="Times New Roman"/>
                <w:spacing w:val="0"/>
                <w:lang w:val="zh-TW" w:eastAsia="zh-TW"/>
              </w:rPr>
              <w:t>0. 03</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美国TVL-TWA</w:t>
            </w:r>
            <w:r>
              <w:rPr>
                <w:rStyle w:val="138"/>
                <w:rFonts w:ascii="Times New Roman" w:eastAsia="仿宋" w:cs="Times New Roman"/>
                <w:spacing w:val="0"/>
                <w:lang w:val="zh-TW"/>
              </w:rPr>
              <w:t>：</w:t>
            </w:r>
            <w:r>
              <w:rPr>
                <w:rStyle w:val="138"/>
                <w:rFonts w:ascii="Times New Roman" w:eastAsia="仿宋" w:cs="Times New Roman"/>
                <w:spacing w:val="0"/>
                <w:lang w:val="zh-TW" w:eastAsia="zh-TW"/>
              </w:rPr>
              <w:t>ACGIH 02mg/ m</w:t>
            </w:r>
            <w:r>
              <w:rPr>
                <w:rStyle w:val="138"/>
                <w:rFonts w:ascii="Times New Roman" w:eastAsia="仿宋" w:cs="Times New Roman"/>
                <w:spacing w:val="0"/>
                <w:vertAlign w:val="superscript"/>
                <w:lang w:val="zh-TW" w:eastAsia="zh-TW"/>
              </w:rPr>
              <w:t>3</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前苏联MAC（mg/m</w:t>
            </w:r>
            <w:r>
              <w:rPr>
                <w:rStyle w:val="138"/>
                <w:rFonts w:ascii="Times New Roman" w:eastAsia="仿宋" w:cs="Times New Roman"/>
                <w:spacing w:val="0"/>
                <w:vertAlign w:val="superscript"/>
                <w:lang w:val="zh-TW" w:eastAsia="zh-TW"/>
              </w:rPr>
              <w:t>3</w:t>
            </w:r>
            <w:r>
              <w:rPr>
                <w:rStyle w:val="138"/>
                <w:rFonts w:ascii="Times New Roman" w:eastAsia="仿宋" w:cs="Times New Roman"/>
                <w:spacing w:val="0"/>
                <w:lang w:val="zh-TW" w:eastAsia="zh-TW"/>
              </w:rPr>
              <w:t>）</w:t>
            </w:r>
            <w:r>
              <w:rPr>
                <w:rStyle w:val="138"/>
                <w:rFonts w:ascii="Times New Roman" w:eastAsia="仿宋" w:cs="Times New Roman"/>
                <w:spacing w:val="0"/>
                <w:lang w:val="zh-TW"/>
              </w:rPr>
              <w:t>：</w:t>
            </w:r>
            <w:r>
              <w:rPr>
                <w:rStyle w:val="138"/>
                <w:rFonts w:ascii="Times New Roman" w:eastAsia="仿宋" w:cs="Times New Roman"/>
                <w:spacing w:val="0"/>
                <w:lang w:val="zh-TW" w:eastAsia="zh-TW"/>
              </w:rPr>
              <w:t>0. 03</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工程控制</w:t>
            </w:r>
            <w:r>
              <w:rPr>
                <w:rStyle w:val="138"/>
                <w:rFonts w:ascii="Times New Roman" w:eastAsia="仿宋" w:cs="Times New Roman"/>
                <w:spacing w:val="0"/>
                <w:lang w:val="zh-TW"/>
              </w:rPr>
              <w:t>：</w:t>
            </w:r>
            <w:r>
              <w:rPr>
                <w:rStyle w:val="138"/>
                <w:rFonts w:ascii="Times New Roman" w:eastAsia="仿宋" w:cs="Times New Roman"/>
                <w:spacing w:val="0"/>
                <w:lang w:val="zh-TW" w:eastAsia="zh-TW"/>
              </w:rPr>
              <w:t>严加密闭</w:t>
            </w:r>
            <w:r>
              <w:rPr>
                <w:rStyle w:val="138"/>
                <w:rFonts w:ascii="Times New Roman" w:eastAsia="仿宋" w:cs="Times New Roman"/>
                <w:spacing w:val="0"/>
                <w:lang w:val="zh-TW"/>
              </w:rPr>
              <w:t>，</w:t>
            </w:r>
            <w:r>
              <w:rPr>
                <w:rStyle w:val="138"/>
                <w:rFonts w:ascii="Times New Roman" w:eastAsia="仿宋" w:cs="Times New Roman"/>
                <w:spacing w:val="0"/>
                <w:lang w:val="zh-TW" w:eastAsia="zh-TW"/>
              </w:rPr>
              <w:t>提供充分的局部排风</w:t>
            </w:r>
            <w:r>
              <w:rPr>
                <w:rStyle w:val="138"/>
                <w:rFonts w:ascii="Times New Roman" w:eastAsia="仿宋" w:cs="Times New Roman"/>
                <w:spacing w:val="0"/>
                <w:lang w:val="zh-TW"/>
              </w:rPr>
              <w:t>。</w:t>
            </w:r>
            <w:r>
              <w:rPr>
                <w:rStyle w:val="138"/>
                <w:rFonts w:ascii="Times New Roman" w:eastAsia="仿宋" w:cs="Times New Roman"/>
                <w:spacing w:val="0"/>
                <w:lang w:val="zh-TW" w:eastAsia="zh-TW"/>
              </w:rPr>
              <w:t>尽可能机械化</w:t>
            </w:r>
            <w:r>
              <w:rPr>
                <w:rStyle w:val="138"/>
                <w:rFonts w:ascii="Times New Roman" w:eastAsia="仿宋" w:cs="Times New Roman"/>
                <w:spacing w:val="0"/>
                <w:lang w:val="zh-TW"/>
              </w:rPr>
              <w:t>、</w:t>
            </w:r>
            <w:r>
              <w:rPr>
                <w:rStyle w:val="138"/>
                <w:rFonts w:ascii="Times New Roman" w:eastAsia="仿宋" w:cs="Times New Roman"/>
                <w:spacing w:val="0"/>
                <w:lang w:val="zh-TW" w:eastAsia="zh-TW"/>
              </w:rPr>
              <w:t>自动化</w:t>
            </w:r>
            <w:r>
              <w:rPr>
                <w:rStyle w:val="138"/>
                <w:rFonts w:ascii="Times New Roman" w:eastAsia="仿宋" w:cs="Times New Roman"/>
                <w:spacing w:val="0"/>
                <w:lang w:val="zh-TW"/>
              </w:rPr>
              <w:t>。</w:t>
            </w:r>
            <w:r>
              <w:rPr>
                <w:rStyle w:val="138"/>
                <w:rFonts w:ascii="Times New Roman" w:eastAsia="仿宋" w:cs="Times New Roman"/>
                <w:spacing w:val="0"/>
                <w:lang w:val="zh-TW" w:eastAsia="zh-TW"/>
              </w:rPr>
              <w:t>提供安全淋浴和洗眼设备。</w:t>
            </w:r>
          </w:p>
          <w:p>
            <w:pPr>
              <w:pStyle w:val="18"/>
              <w:jc w:val="left"/>
              <w:rPr>
                <w:rStyle w:val="138"/>
                <w:rFonts w:ascii="Times New Roman" w:eastAsia="仿宋" w:cs="Times New Roman"/>
                <w:spacing w:val="0"/>
                <w:lang w:val="zh-TW"/>
              </w:rPr>
            </w:pPr>
            <w:r>
              <w:rPr>
                <w:rStyle w:val="138"/>
                <w:rFonts w:ascii="Times New Roman" w:eastAsia="仿宋" w:cs="Times New Roman"/>
                <w:spacing w:val="0"/>
                <w:lang w:val="zh-TW" w:eastAsia="zh-TW"/>
              </w:rPr>
              <w:t>呼吸系统防护</w:t>
            </w:r>
            <w:r>
              <w:rPr>
                <w:rStyle w:val="138"/>
                <w:rFonts w:ascii="Times New Roman" w:eastAsia="仿宋" w:cs="Times New Roman"/>
                <w:spacing w:val="0"/>
                <w:lang w:val="zh-TW"/>
              </w:rPr>
              <w:t>：</w:t>
            </w:r>
            <w:r>
              <w:rPr>
                <w:rStyle w:val="138"/>
                <w:rFonts w:ascii="Times New Roman" w:eastAsia="仿宋" w:cs="Times New Roman"/>
                <w:spacing w:val="0"/>
                <w:lang w:val="zh-TW" w:eastAsia="zh-TW"/>
              </w:rPr>
              <w:t>可能接触毒物时</w:t>
            </w:r>
            <w:r>
              <w:rPr>
                <w:rStyle w:val="138"/>
                <w:rFonts w:ascii="Times New Roman" w:eastAsia="仿宋" w:cs="Times New Roman"/>
                <w:spacing w:val="0"/>
                <w:lang w:val="zh-TW"/>
              </w:rPr>
              <w:t>，</w:t>
            </w:r>
            <w:r>
              <w:rPr>
                <w:rStyle w:val="138"/>
                <w:rFonts w:ascii="Times New Roman" w:eastAsia="仿宋" w:cs="Times New Roman"/>
                <w:spacing w:val="0"/>
                <w:lang w:val="zh-TW" w:eastAsia="zh-TW"/>
              </w:rPr>
              <w:t>应佩戴自吸过滤式防毒面具(全面罩)</w:t>
            </w:r>
            <w:r>
              <w:rPr>
                <w:rStyle w:val="138"/>
                <w:rFonts w:ascii="Times New Roman" w:eastAsia="仿宋" w:cs="Times New Roman"/>
                <w:spacing w:val="0"/>
                <w:lang w:val="zh-TW"/>
              </w:rPr>
              <w:t>。</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眼晴防护</w:t>
            </w:r>
            <w:r>
              <w:rPr>
                <w:rStyle w:val="138"/>
                <w:rFonts w:ascii="Times New Roman" w:eastAsia="仿宋" w:cs="Times New Roman"/>
                <w:spacing w:val="0"/>
                <w:lang w:val="zh-TW"/>
              </w:rPr>
              <w:t>：</w:t>
            </w:r>
            <w:r>
              <w:rPr>
                <w:rStyle w:val="138"/>
                <w:rFonts w:ascii="Times New Roman" w:eastAsia="仿宋" w:cs="Times New Roman"/>
                <w:spacing w:val="0"/>
                <w:lang w:val="zh-TW" w:eastAsia="zh-TW"/>
              </w:rPr>
              <w:t>呼吸系统防护中已作防护。</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身体防护</w:t>
            </w:r>
            <w:r>
              <w:rPr>
                <w:rStyle w:val="138"/>
                <w:rFonts w:ascii="Times New Roman" w:eastAsia="仿宋" w:cs="Times New Roman"/>
                <w:spacing w:val="0"/>
                <w:lang w:val="zh-TW"/>
              </w:rPr>
              <w:t>：</w:t>
            </w:r>
            <w:r>
              <w:rPr>
                <w:rStyle w:val="138"/>
                <w:rFonts w:ascii="Times New Roman" w:eastAsia="仿宋" w:cs="Times New Roman"/>
                <w:spacing w:val="0"/>
                <w:lang w:val="zh-TW" w:eastAsia="zh-TW"/>
              </w:rPr>
              <w:t>穿式胶布防毒衣。</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手防护</w:t>
            </w:r>
            <w:r>
              <w:rPr>
                <w:rStyle w:val="138"/>
                <w:rFonts w:ascii="Times New Roman" w:eastAsia="仿宋" w:cs="Times New Roman"/>
                <w:spacing w:val="0"/>
                <w:lang w:val="zh-TW"/>
              </w:rPr>
              <w:t>：</w:t>
            </w:r>
            <w:r>
              <w:rPr>
                <w:rStyle w:val="138"/>
                <w:rFonts w:ascii="Times New Roman" w:eastAsia="仿宋" w:cs="Times New Roman"/>
                <w:spacing w:val="0"/>
                <w:lang w:val="zh-TW" w:eastAsia="zh-TW"/>
              </w:rPr>
              <w:t>戴橡胶手套。</w:t>
            </w:r>
          </w:p>
          <w:p>
            <w:pPr>
              <w:pStyle w:val="18"/>
              <w:jc w:val="left"/>
              <w:rPr>
                <w:rFonts w:eastAsia="仿宋"/>
                <w:sz w:val="21"/>
                <w:szCs w:val="21"/>
              </w:rPr>
            </w:pPr>
            <w:r>
              <w:rPr>
                <w:rStyle w:val="138"/>
                <w:rFonts w:ascii="Times New Roman" w:eastAsia="仿宋" w:cs="Times New Roman"/>
                <w:spacing w:val="0"/>
                <w:lang w:val="zh-TW" w:eastAsia="zh-TW"/>
              </w:rPr>
              <w:t>其他</w:t>
            </w:r>
            <w:r>
              <w:rPr>
                <w:rStyle w:val="138"/>
                <w:rFonts w:ascii="Times New Roman" w:eastAsia="仿宋" w:cs="Times New Roman"/>
                <w:spacing w:val="0"/>
                <w:lang w:val="zh-TW"/>
              </w:rPr>
              <w:t>：</w:t>
            </w:r>
            <w:r>
              <w:rPr>
                <w:rStyle w:val="138"/>
                <w:rFonts w:ascii="Times New Roman" w:eastAsia="仿宋" w:cs="Times New Roman"/>
                <w:spacing w:val="0"/>
                <w:lang w:val="zh-TW" w:eastAsia="zh-TW"/>
              </w:rPr>
              <w:t>工作现场禁止吸烟</w:t>
            </w:r>
            <w:r>
              <w:rPr>
                <w:rStyle w:val="138"/>
                <w:rFonts w:ascii="Times New Roman" w:eastAsia="仿宋" w:cs="Times New Roman"/>
                <w:spacing w:val="0"/>
                <w:lang w:val="zh-TW"/>
              </w:rPr>
              <w:t>、</w:t>
            </w:r>
            <w:r>
              <w:rPr>
                <w:rStyle w:val="138"/>
                <w:rFonts w:ascii="Times New Roman" w:eastAsia="仿宋" w:cs="Times New Roman"/>
                <w:spacing w:val="0"/>
                <w:lang w:val="zh-TW" w:eastAsia="zh-TW"/>
              </w:rPr>
              <w:t>进食和饮水</w:t>
            </w:r>
            <w:r>
              <w:rPr>
                <w:rStyle w:val="138"/>
                <w:rFonts w:ascii="Times New Roman" w:eastAsia="仿宋" w:cs="Times New Roman"/>
                <w:spacing w:val="0"/>
                <w:lang w:val="zh-TW"/>
              </w:rPr>
              <w:t>。</w:t>
            </w:r>
            <w:r>
              <w:rPr>
                <w:rStyle w:val="138"/>
                <w:rFonts w:ascii="Times New Roman" w:eastAsia="仿宋" w:cs="Times New Roman"/>
                <w:spacing w:val="0"/>
                <w:lang w:val="zh-TW" w:eastAsia="zh-TW"/>
              </w:rPr>
              <w:t>工作毕</w:t>
            </w:r>
            <w:r>
              <w:rPr>
                <w:rStyle w:val="138"/>
                <w:rFonts w:ascii="Times New Roman" w:eastAsia="仿宋" w:cs="Times New Roman"/>
                <w:spacing w:val="0"/>
                <w:lang w:val="zh-TW"/>
              </w:rPr>
              <w:t>，</w:t>
            </w:r>
            <w:r>
              <w:rPr>
                <w:rStyle w:val="138"/>
                <w:rFonts w:ascii="Times New Roman" w:eastAsia="仿宋" w:cs="Times New Roman"/>
                <w:spacing w:val="0"/>
                <w:lang w:val="zh-TW" w:eastAsia="zh-TW"/>
              </w:rPr>
              <w:t>彻底清洗</w:t>
            </w:r>
            <w:r>
              <w:rPr>
                <w:rStyle w:val="138"/>
                <w:rFonts w:ascii="Times New Roman" w:eastAsia="仿宋" w:cs="Times New Roman"/>
                <w:spacing w:val="0"/>
                <w:lang w:val="zh-TW"/>
              </w:rPr>
              <w:t>。</w:t>
            </w:r>
            <w:r>
              <w:rPr>
                <w:rStyle w:val="138"/>
                <w:rFonts w:ascii="Times New Roman" w:eastAsia="仿宋" w:cs="Times New Roman"/>
                <w:spacing w:val="0"/>
                <w:lang w:val="zh-TW" w:eastAsia="zh-TW"/>
              </w:rPr>
              <w:t>实行就业前和定期的体检</w:t>
            </w:r>
            <w:r>
              <w:rPr>
                <w:rStyle w:val="138"/>
                <w:rFonts w:ascii="Times New Roman" w:eastAsia="仿宋" w:cs="Times New Roman"/>
                <w:spacing w:val="0"/>
                <w:lang w:val="zh-TW"/>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急救措施</w:t>
            </w:r>
          </w:p>
        </w:tc>
        <w:tc>
          <w:tcPr>
            <w:tcW w:w="7774" w:type="dxa"/>
            <w:gridSpan w:val="3"/>
            <w:shd w:val="clear" w:color="auto" w:fill="FFFFFF"/>
            <w:noWrap/>
            <w:vAlign w:val="center"/>
          </w:tcPr>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皮肤接触：脱去被污染的衣着，用大量流动清水冲洗。立即涂抹2％-3％硝酸银灭磷水。就医。</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眼睛接触：立即提起眼睑，用大量流动清水或生理盐水彻底冲洗至少15分钟。就医。</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吸入：迅速脱离现场至空气新鲜处。保持呼吸道通畅。如呼吸困难，给输氧。呼吸心跳停止时，立即进行人工呼吸。就医。</w:t>
            </w:r>
          </w:p>
          <w:p>
            <w:pPr>
              <w:pStyle w:val="18"/>
              <w:jc w:val="left"/>
              <w:rPr>
                <w:rFonts w:eastAsia="仿宋"/>
                <w:sz w:val="21"/>
                <w:szCs w:val="21"/>
              </w:rPr>
            </w:pPr>
            <w:r>
              <w:rPr>
                <w:rStyle w:val="138"/>
                <w:rFonts w:ascii="Times New Roman" w:eastAsia="仿宋" w:cs="Times New Roman"/>
                <w:spacing w:val="0"/>
                <w:lang w:val="zh-TW" w:eastAsia="zh-TW"/>
              </w:rPr>
              <w:t>食入：立即用2％硫酸铜洗胃，或用1：5000高锰酸钾洗胃。洗胃及导泻应谨慎，防止胃肠穿孔或出血。就医。</w:t>
            </w:r>
          </w:p>
        </w:tc>
      </w:tr>
    </w:tbl>
    <w:p>
      <w:pPr>
        <w:pStyle w:val="137"/>
        <w:spacing w:before="120" w:after="120"/>
        <w:rPr>
          <w:rFonts w:ascii="仿宋" w:hAnsi="仿宋" w:eastAsia="仿宋" w:cs="仿宋"/>
          <w:bCs/>
          <w:snapToGrid w:val="0"/>
          <w:color w:val="auto"/>
          <w:sz w:val="28"/>
          <w:szCs w:val="28"/>
        </w:rPr>
      </w:pPr>
      <w:r>
        <w:rPr>
          <w:rFonts w:hint="eastAsia" w:ascii="仿宋" w:hAnsi="仿宋" w:eastAsia="仿宋" w:cs="仿宋"/>
          <w:bCs/>
          <w:snapToGrid w:val="0"/>
          <w:color w:val="auto"/>
          <w:sz w:val="28"/>
          <w:szCs w:val="28"/>
        </w:rPr>
        <w:t>物质性质一览表—磷酸</w:t>
      </w:r>
    </w:p>
    <w:tbl>
      <w:tblPr>
        <w:tblStyle w:val="35"/>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Layout w:type="fixed"/>
        <w:tblCellMar>
          <w:top w:w="0" w:type="dxa"/>
          <w:left w:w="0" w:type="dxa"/>
          <w:bottom w:w="0" w:type="dxa"/>
          <w:right w:w="0" w:type="dxa"/>
        </w:tblCellMar>
      </w:tblPr>
      <w:tblGrid>
        <w:gridCol w:w="1362"/>
        <w:gridCol w:w="3544"/>
        <w:gridCol w:w="992"/>
        <w:gridCol w:w="305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362"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危险化学品序号</w:t>
            </w:r>
          </w:p>
        </w:tc>
        <w:tc>
          <w:tcPr>
            <w:tcW w:w="354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val="zh-TW" w:eastAsia="zh-TW"/>
              </w:rPr>
              <w:t>2790</w:t>
            </w:r>
          </w:p>
        </w:tc>
        <w:tc>
          <w:tcPr>
            <w:tcW w:w="992" w:type="dxa"/>
            <w:shd w:val="clear" w:color="auto" w:fill="FFFFFF"/>
            <w:noWrap/>
            <w:vAlign w:val="center"/>
          </w:tcPr>
          <w:p>
            <w:pPr>
              <w:pStyle w:val="18"/>
              <w:jc w:val="center"/>
              <w:rPr>
                <w:rFonts w:eastAsia="仿宋"/>
                <w:b/>
                <w:bCs/>
                <w:sz w:val="21"/>
                <w:szCs w:val="21"/>
              </w:rPr>
            </w:pPr>
            <w:r>
              <w:rPr>
                <w:rStyle w:val="139"/>
                <w:rFonts w:ascii="Times New Roman" w:eastAsia="仿宋" w:cs="Times New Roman"/>
                <w:b/>
                <w:bCs/>
                <w:sz w:val="21"/>
                <w:szCs w:val="21"/>
              </w:rPr>
              <w:t>CAS</w:t>
            </w:r>
            <w:r>
              <w:rPr>
                <w:rStyle w:val="138"/>
                <w:rFonts w:ascii="Times New Roman" w:eastAsia="仿宋" w:cs="Times New Roman"/>
                <w:b/>
                <w:bCs/>
                <w:spacing w:val="0"/>
                <w:lang w:val="zh-TW" w:eastAsia="zh-TW"/>
              </w:rPr>
              <w:t>号</w:t>
            </w:r>
          </w:p>
        </w:tc>
        <w:tc>
          <w:tcPr>
            <w:tcW w:w="3059"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rPr>
              <w:t>7664-38-2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362"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中文名称</w:t>
            </w:r>
          </w:p>
        </w:tc>
        <w:tc>
          <w:tcPr>
            <w:tcW w:w="3544"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正磷酸； 磷酸</w:t>
            </w:r>
          </w:p>
        </w:tc>
        <w:tc>
          <w:tcPr>
            <w:tcW w:w="992"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英文名称</w:t>
            </w:r>
          </w:p>
        </w:tc>
        <w:tc>
          <w:tcPr>
            <w:tcW w:w="3059"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rPr>
              <w:t>Phosphoric acid</w:t>
            </w:r>
            <w:r>
              <w:rPr>
                <w:rStyle w:val="139"/>
                <w:rFonts w:ascii="Times New Roman" w:eastAsia="仿宋" w:cs="Times New Roman"/>
                <w:sz w:val="21"/>
                <w:szCs w:val="21"/>
                <w:lang w:eastAsia="zh-CN"/>
              </w:rPr>
              <w:t>；</w:t>
            </w:r>
            <w:r>
              <w:rPr>
                <w:rStyle w:val="139"/>
                <w:rFonts w:ascii="Times New Roman" w:eastAsia="仿宋" w:cs="Times New Roman"/>
                <w:sz w:val="21"/>
                <w:szCs w:val="21"/>
              </w:rPr>
              <w:t>Orthophosphoric acid</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362"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分子式</w:t>
            </w:r>
          </w:p>
        </w:tc>
        <w:tc>
          <w:tcPr>
            <w:tcW w:w="354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rPr>
              <w:t>H</w:t>
            </w:r>
            <w:r>
              <w:rPr>
                <w:rStyle w:val="139"/>
                <w:rFonts w:ascii="Times New Roman" w:eastAsia="仿宋" w:cs="Times New Roman"/>
                <w:sz w:val="21"/>
                <w:szCs w:val="21"/>
                <w:vertAlign w:val="subscript"/>
              </w:rPr>
              <w:t>3</w:t>
            </w:r>
            <w:r>
              <w:rPr>
                <w:rStyle w:val="139"/>
                <w:rFonts w:ascii="Times New Roman" w:eastAsia="仿宋" w:cs="Times New Roman"/>
                <w:sz w:val="21"/>
                <w:szCs w:val="21"/>
              </w:rPr>
              <w:t>PO</w:t>
            </w:r>
            <w:r>
              <w:rPr>
                <w:rStyle w:val="139"/>
                <w:rFonts w:ascii="Times New Roman" w:eastAsia="仿宋" w:cs="Times New Roman"/>
                <w:sz w:val="21"/>
                <w:szCs w:val="21"/>
                <w:vertAlign w:val="subscript"/>
              </w:rPr>
              <w:t>4</w:t>
            </w:r>
          </w:p>
        </w:tc>
        <w:tc>
          <w:tcPr>
            <w:tcW w:w="992"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外观与性状</w:t>
            </w:r>
          </w:p>
        </w:tc>
        <w:tc>
          <w:tcPr>
            <w:tcW w:w="3059"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纯磷酸为无色结晶， 无臭， 具有酸味</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362"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分子量</w:t>
            </w:r>
          </w:p>
        </w:tc>
        <w:tc>
          <w:tcPr>
            <w:tcW w:w="354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val="zh-TW" w:eastAsia="zh-TW"/>
              </w:rPr>
              <w:t>98</w:t>
            </w:r>
          </w:p>
        </w:tc>
        <w:tc>
          <w:tcPr>
            <w:tcW w:w="992"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蒸汽压</w:t>
            </w:r>
          </w:p>
        </w:tc>
        <w:tc>
          <w:tcPr>
            <w:tcW w:w="3059"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eastAsia="zh-CN"/>
              </w:rPr>
              <w:t>0.67</w:t>
            </w:r>
            <w:r>
              <w:rPr>
                <w:rStyle w:val="139"/>
                <w:rFonts w:ascii="Times New Roman" w:eastAsia="仿宋" w:cs="Times New Roman"/>
                <w:sz w:val="21"/>
                <w:szCs w:val="21"/>
              </w:rPr>
              <w:t xml:space="preserve"> kPa(</w:t>
            </w:r>
            <w:r>
              <w:rPr>
                <w:rStyle w:val="139"/>
                <w:rFonts w:ascii="Times New Roman" w:eastAsia="仿宋" w:cs="Times New Roman"/>
                <w:sz w:val="21"/>
                <w:szCs w:val="21"/>
                <w:lang w:eastAsia="zh-CN"/>
              </w:rPr>
              <w:t>25</w:t>
            </w:r>
            <w:r>
              <w:rPr>
                <w:rStyle w:val="138"/>
                <w:rFonts w:ascii="Times New Roman" w:eastAsia="仿宋" w:cs="Times New Roman"/>
                <w:spacing w:val="0"/>
              </w:rPr>
              <w:t>℃</w:t>
            </w:r>
            <w:r>
              <w:rPr>
                <w:rStyle w:val="138"/>
                <w:rFonts w:ascii="Times New Roman" w:eastAsia="仿宋" w:cs="Times New Roman"/>
                <w:spacing w:val="0"/>
                <w:lang w:eastAsia="en-US"/>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362"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熔点</w:t>
            </w:r>
          </w:p>
        </w:tc>
        <w:tc>
          <w:tcPr>
            <w:tcW w:w="354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val="zh-TW" w:eastAsia="zh-TW"/>
              </w:rPr>
              <w:t>42.4</w:t>
            </w:r>
            <w:r>
              <w:rPr>
                <w:rStyle w:val="140"/>
                <w:rFonts w:ascii="Times New Roman" w:eastAsia="仿宋" w:cs="Times New Roman"/>
                <w:spacing w:val="0"/>
                <w:lang w:val="zh-TW"/>
              </w:rPr>
              <w:t>℃，</w:t>
            </w:r>
            <w:r>
              <w:rPr>
                <w:rStyle w:val="140"/>
                <w:rFonts w:ascii="Times New Roman" w:eastAsia="仿宋" w:cs="Times New Roman"/>
                <w:spacing w:val="0"/>
                <w:lang w:val="zh-TW" w:eastAsia="zh-TW"/>
              </w:rPr>
              <w:t>沸点：</w:t>
            </w:r>
            <w:r>
              <w:rPr>
                <w:rStyle w:val="139"/>
                <w:rFonts w:ascii="Times New Roman" w:eastAsia="仿宋" w:cs="Times New Roman"/>
                <w:sz w:val="21"/>
                <w:szCs w:val="21"/>
                <w:lang w:val="zh-TW" w:eastAsia="zh-TW"/>
              </w:rPr>
              <w:t>260</w:t>
            </w:r>
            <w:r>
              <w:rPr>
                <w:rStyle w:val="140"/>
                <w:rFonts w:ascii="Times New Roman" w:eastAsia="仿宋" w:cs="Times New Roman"/>
                <w:spacing w:val="0"/>
                <w:lang w:val="zh-TW"/>
              </w:rPr>
              <w:t>℃</w:t>
            </w:r>
          </w:p>
        </w:tc>
        <w:tc>
          <w:tcPr>
            <w:tcW w:w="992" w:type="dxa"/>
            <w:shd w:val="clear" w:color="auto" w:fill="FFFFFF"/>
            <w:noWrap/>
            <w:vAlign w:val="center"/>
          </w:tcPr>
          <w:p>
            <w:pPr>
              <w:pStyle w:val="18"/>
              <w:jc w:val="center"/>
              <w:rPr>
                <w:rFonts w:eastAsia="仿宋"/>
                <w:b/>
                <w:bCs/>
                <w:sz w:val="21"/>
                <w:szCs w:val="21"/>
              </w:rPr>
            </w:pPr>
            <w:r>
              <w:rPr>
                <w:rStyle w:val="140"/>
                <w:rFonts w:ascii="Times New Roman" w:eastAsia="仿宋" w:cs="Times New Roman"/>
                <w:b/>
                <w:bCs/>
                <w:spacing w:val="0"/>
                <w:lang w:val="zh-TW" w:eastAsia="zh-TW"/>
              </w:rPr>
              <w:t>稳定性</w:t>
            </w:r>
          </w:p>
        </w:tc>
        <w:tc>
          <w:tcPr>
            <w:tcW w:w="3059" w:type="dxa"/>
            <w:shd w:val="clear" w:color="auto" w:fill="FFFFFF"/>
            <w:noWrap/>
            <w:vAlign w:val="center"/>
          </w:tcPr>
          <w:p>
            <w:pPr>
              <w:pStyle w:val="18"/>
              <w:jc w:val="center"/>
              <w:rPr>
                <w:rFonts w:eastAsia="仿宋"/>
                <w:sz w:val="21"/>
                <w:szCs w:val="21"/>
              </w:rPr>
            </w:pPr>
            <w:r>
              <w:rPr>
                <w:rStyle w:val="140"/>
                <w:rFonts w:ascii="Times New Roman" w:eastAsia="仿宋" w:cs="Times New Roman"/>
                <w:spacing w:val="0"/>
                <w:lang w:val="zh-TW" w:eastAsia="zh-TW"/>
              </w:rPr>
              <w:t>稳定</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362" w:type="dxa"/>
            <w:shd w:val="clear" w:color="auto" w:fill="FFFFFF"/>
            <w:noWrap/>
            <w:vAlign w:val="center"/>
          </w:tcPr>
          <w:p>
            <w:pPr>
              <w:pStyle w:val="18"/>
              <w:jc w:val="center"/>
              <w:rPr>
                <w:rFonts w:eastAsia="仿宋"/>
                <w:b/>
                <w:bCs/>
                <w:sz w:val="21"/>
                <w:szCs w:val="21"/>
              </w:rPr>
            </w:pPr>
            <w:r>
              <w:rPr>
                <w:rStyle w:val="140"/>
                <w:rFonts w:ascii="Times New Roman" w:eastAsia="仿宋" w:cs="Times New Roman"/>
                <w:b/>
                <w:bCs/>
                <w:spacing w:val="0"/>
                <w:lang w:val="zh-TW" w:eastAsia="zh-TW"/>
              </w:rPr>
              <w:t>密度</w:t>
            </w:r>
          </w:p>
        </w:tc>
        <w:tc>
          <w:tcPr>
            <w:tcW w:w="3544"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相对密度</w:t>
            </w:r>
            <w:r>
              <w:rPr>
                <w:rStyle w:val="139"/>
                <w:rFonts w:ascii="Times New Roman" w:eastAsia="仿宋" w:cs="Times New Roman"/>
                <w:sz w:val="21"/>
                <w:szCs w:val="21"/>
                <w:lang w:val="zh-TW" w:eastAsia="zh-TW"/>
              </w:rPr>
              <w:t>(</w:t>
            </w:r>
            <w:r>
              <w:rPr>
                <w:rStyle w:val="138"/>
                <w:rFonts w:ascii="Times New Roman" w:eastAsia="仿宋" w:cs="Times New Roman"/>
                <w:spacing w:val="0"/>
                <w:lang w:val="zh-TW" w:eastAsia="zh-TW"/>
              </w:rPr>
              <w:t>水</w:t>
            </w:r>
            <w:r>
              <w:rPr>
                <w:rStyle w:val="139"/>
                <w:rFonts w:ascii="Times New Roman" w:eastAsia="仿宋" w:cs="Times New Roman"/>
                <w:sz w:val="21"/>
                <w:szCs w:val="21"/>
                <w:lang w:eastAsia="zh-CN"/>
              </w:rPr>
              <w:t>=1)1.87；</w:t>
            </w:r>
            <w:r>
              <w:rPr>
                <w:rStyle w:val="138"/>
                <w:rFonts w:ascii="Times New Roman" w:eastAsia="仿宋" w:cs="Times New Roman"/>
                <w:spacing w:val="0"/>
                <w:lang w:val="zh-TW" w:eastAsia="zh-TW"/>
              </w:rPr>
              <w:t xml:space="preserve">相对密度(空气 </w:t>
            </w:r>
            <w:r>
              <w:rPr>
                <w:rStyle w:val="139"/>
                <w:rFonts w:ascii="Times New Roman" w:eastAsia="仿宋" w:cs="Times New Roman"/>
                <w:sz w:val="21"/>
                <w:szCs w:val="21"/>
                <w:lang w:eastAsia="zh-CN"/>
              </w:rPr>
              <w:t>=1)3.38</w:t>
            </w:r>
          </w:p>
        </w:tc>
        <w:tc>
          <w:tcPr>
            <w:tcW w:w="992"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溶解性</w:t>
            </w:r>
          </w:p>
        </w:tc>
        <w:tc>
          <w:tcPr>
            <w:tcW w:w="3059"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与水混溶， 可混溶于乙醇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362"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侵入途径</w:t>
            </w:r>
          </w:p>
        </w:tc>
        <w:tc>
          <w:tcPr>
            <w:tcW w:w="7595" w:type="dxa"/>
            <w:gridSpan w:val="3"/>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吸入、 食入、 经皮吸收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362"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健康危害</w:t>
            </w:r>
          </w:p>
        </w:tc>
        <w:tc>
          <w:tcPr>
            <w:tcW w:w="7595" w:type="dxa"/>
            <w:gridSpan w:val="3"/>
            <w:shd w:val="clear" w:color="auto" w:fill="FFFFFF"/>
            <w:noWrap/>
            <w:vAlign w:val="center"/>
          </w:tcPr>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蒸气或雾对眼、鼻、喉有刺激性。口服液体可引起恶心、呕吐、腹痛、血便或体克。皮肤或眼接触可致灼伤。慢性影响：鼻粘膜萎缩、鼻中隔穿孔。长期反复皮肤接触，可引起皮肤刺激。</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362"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毒性</w:t>
            </w:r>
          </w:p>
        </w:tc>
        <w:tc>
          <w:tcPr>
            <w:tcW w:w="7595"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LD50： 1530 mg/kg(大鼠经口)； 2740 mg/kg(兔经皮)</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362"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危险特性</w:t>
            </w:r>
          </w:p>
        </w:tc>
        <w:tc>
          <w:tcPr>
            <w:tcW w:w="7595"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遇金属反应放出氢气，能与空气形成爆炸性混合物。受热分解产生剧毒的氧化磷烟气。具有腐蚀性。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362"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泄漏应急 处理</w:t>
            </w:r>
          </w:p>
        </w:tc>
        <w:tc>
          <w:tcPr>
            <w:tcW w:w="7595" w:type="dxa"/>
            <w:gridSpan w:val="3"/>
            <w:shd w:val="clear" w:color="auto" w:fill="FFFFFF"/>
            <w:noWrap/>
            <w:vAlign w:val="center"/>
          </w:tcPr>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疏散泄漏污染区人员至安全区，禁止无关人员进入污染区，建议应急处理人员戴好防毒面具，穿化学防护服。不要直接接触泄漏物。用沙土、干燥石灰或苏打灰混合，然后收集转移到安全场所或以少量加入大量水中，调节至中性，再放入废水系统。如大量泄漏，收集回收或无害处理后废弃。</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1491" w:hRule="atLeast"/>
          <w:jc w:val="center"/>
        </w:trPr>
        <w:tc>
          <w:tcPr>
            <w:tcW w:w="1362"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急救措施</w:t>
            </w:r>
          </w:p>
        </w:tc>
        <w:tc>
          <w:tcPr>
            <w:tcW w:w="7595" w:type="dxa"/>
            <w:gridSpan w:val="3"/>
            <w:shd w:val="clear" w:color="auto" w:fill="FFFFFF"/>
            <w:noWrap/>
            <w:vAlign w:val="center"/>
          </w:tcPr>
          <w:p>
            <w:pPr>
              <w:pStyle w:val="18"/>
              <w:numPr>
                <w:ilvl w:val="0"/>
                <w:numId w:val="8"/>
              </w:numPr>
              <w:ind w:left="363" w:hanging="363"/>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皮肤接触：立即脱去污染的衣着，用大量流动清水冲洗至少 15 分钟。就医。</w:t>
            </w:r>
          </w:p>
          <w:p>
            <w:pPr>
              <w:pStyle w:val="18"/>
              <w:numPr>
                <w:ilvl w:val="0"/>
                <w:numId w:val="8"/>
              </w:numPr>
              <w:ind w:left="363" w:hanging="363"/>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眼睛接触：立即提起眼睑，用大量流动清水或生理盐水彻底冲洗至少15分钟。就医。</w:t>
            </w:r>
          </w:p>
          <w:p>
            <w:pPr>
              <w:pStyle w:val="18"/>
              <w:numPr>
                <w:ilvl w:val="0"/>
                <w:numId w:val="8"/>
              </w:numPr>
              <w:ind w:left="363" w:hanging="363"/>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吸入：迅速脱离现场至空气新鲜处。保持呼吸道通畅。如呼吸困难，给输氧。如呼吸停止，立即进行人工呼吸。 就医。</w:t>
            </w:r>
          </w:p>
          <w:p>
            <w:pPr>
              <w:pStyle w:val="18"/>
              <w:numPr>
                <w:ilvl w:val="0"/>
                <w:numId w:val="8"/>
              </w:numPr>
              <w:ind w:left="363" w:hanging="363"/>
              <w:jc w:val="left"/>
              <w:rPr>
                <w:rFonts w:eastAsia="仿宋"/>
                <w:sz w:val="21"/>
                <w:szCs w:val="21"/>
              </w:rPr>
            </w:pPr>
            <w:r>
              <w:rPr>
                <w:rStyle w:val="138"/>
                <w:rFonts w:ascii="Times New Roman" w:eastAsia="仿宋" w:cs="Times New Roman"/>
                <w:spacing w:val="0"/>
                <w:lang w:val="zh-TW" w:eastAsia="zh-TW"/>
              </w:rPr>
              <w:t>食入：用水漱口，给饮牛奶或蛋清。就医。</w:t>
            </w:r>
          </w:p>
        </w:tc>
      </w:tr>
    </w:tbl>
    <w:p>
      <w:pPr>
        <w:pStyle w:val="137"/>
        <w:spacing w:before="120" w:after="120"/>
        <w:rPr>
          <w:rFonts w:ascii="仿宋" w:hAnsi="仿宋" w:eastAsia="仿宋" w:cs="仿宋"/>
          <w:bCs/>
          <w:snapToGrid w:val="0"/>
          <w:color w:val="auto"/>
          <w:sz w:val="28"/>
          <w:szCs w:val="28"/>
        </w:rPr>
      </w:pPr>
      <w:r>
        <w:rPr>
          <w:rFonts w:hint="eastAsia" w:ascii="仿宋" w:hAnsi="仿宋" w:eastAsia="仿宋" w:cs="仿宋"/>
          <w:bCs/>
          <w:snapToGrid w:val="0"/>
          <w:color w:val="auto"/>
          <w:sz w:val="28"/>
          <w:szCs w:val="28"/>
        </w:rPr>
        <w:t>物质性质一览表—盐酸</w:t>
      </w:r>
    </w:p>
    <w:tbl>
      <w:tblPr>
        <w:tblStyle w:val="35"/>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98"/>
        <w:gridCol w:w="1695"/>
        <w:gridCol w:w="1460"/>
        <w:gridCol w:w="442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8" w:type="dxa"/>
            <w:noWrap/>
            <w:vAlign w:val="center"/>
          </w:tcPr>
          <w:p>
            <w:pPr>
              <w:jc w:val="center"/>
              <w:rPr>
                <w:rFonts w:eastAsia="仿宋"/>
                <w:b/>
                <w:bCs/>
              </w:rPr>
            </w:pPr>
            <w:r>
              <w:rPr>
                <w:rFonts w:eastAsia="仿宋"/>
                <w:b/>
                <w:bCs/>
              </w:rPr>
              <w:t>国标编号</w:t>
            </w:r>
          </w:p>
        </w:tc>
        <w:tc>
          <w:tcPr>
            <w:tcW w:w="7575" w:type="dxa"/>
            <w:gridSpan w:val="3"/>
            <w:noWrap/>
            <w:vAlign w:val="center"/>
          </w:tcPr>
          <w:p>
            <w:pPr>
              <w:jc w:val="center"/>
              <w:rPr>
                <w:rFonts w:eastAsia="仿宋"/>
              </w:rPr>
            </w:pPr>
            <w:r>
              <w:rPr>
                <w:rFonts w:eastAsia="仿宋"/>
              </w:rPr>
              <w:t>22022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8" w:type="dxa"/>
            <w:noWrap/>
            <w:vAlign w:val="center"/>
          </w:tcPr>
          <w:p>
            <w:pPr>
              <w:jc w:val="center"/>
              <w:rPr>
                <w:rFonts w:eastAsia="仿宋"/>
                <w:b/>
                <w:bCs/>
              </w:rPr>
            </w:pPr>
            <w:r>
              <w:rPr>
                <w:rFonts w:eastAsia="仿宋"/>
                <w:b/>
                <w:bCs/>
              </w:rPr>
              <w:t>CAS号</w:t>
            </w:r>
          </w:p>
        </w:tc>
        <w:tc>
          <w:tcPr>
            <w:tcW w:w="7575" w:type="dxa"/>
            <w:gridSpan w:val="3"/>
            <w:noWrap/>
            <w:vAlign w:val="center"/>
          </w:tcPr>
          <w:p>
            <w:pPr>
              <w:jc w:val="center"/>
              <w:rPr>
                <w:rFonts w:eastAsia="仿宋"/>
              </w:rPr>
            </w:pPr>
            <w:r>
              <w:rPr>
                <w:rFonts w:eastAsia="仿宋"/>
              </w:rPr>
              <w:t>7647-01-1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8" w:type="dxa"/>
            <w:noWrap/>
            <w:vAlign w:val="center"/>
          </w:tcPr>
          <w:p>
            <w:pPr>
              <w:jc w:val="center"/>
              <w:rPr>
                <w:rFonts w:eastAsia="仿宋"/>
                <w:b/>
                <w:bCs/>
              </w:rPr>
            </w:pPr>
            <w:r>
              <w:rPr>
                <w:rFonts w:eastAsia="仿宋"/>
                <w:b/>
                <w:bCs/>
              </w:rPr>
              <w:t>中文名称</w:t>
            </w:r>
          </w:p>
        </w:tc>
        <w:tc>
          <w:tcPr>
            <w:tcW w:w="7575" w:type="dxa"/>
            <w:gridSpan w:val="3"/>
            <w:noWrap/>
            <w:vAlign w:val="center"/>
          </w:tcPr>
          <w:p>
            <w:pPr>
              <w:jc w:val="center"/>
              <w:rPr>
                <w:rFonts w:eastAsia="仿宋"/>
              </w:rPr>
            </w:pPr>
            <w:r>
              <w:rPr>
                <w:rFonts w:eastAsia="仿宋"/>
              </w:rPr>
              <w:t>氯化氢</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8" w:type="dxa"/>
            <w:noWrap/>
            <w:vAlign w:val="center"/>
          </w:tcPr>
          <w:p>
            <w:pPr>
              <w:jc w:val="center"/>
              <w:rPr>
                <w:rFonts w:eastAsia="仿宋"/>
                <w:b/>
                <w:bCs/>
              </w:rPr>
            </w:pPr>
            <w:r>
              <w:rPr>
                <w:rFonts w:eastAsia="仿宋"/>
                <w:b/>
                <w:bCs/>
              </w:rPr>
              <w:t>英文名称</w:t>
            </w:r>
          </w:p>
        </w:tc>
        <w:tc>
          <w:tcPr>
            <w:tcW w:w="7575" w:type="dxa"/>
            <w:gridSpan w:val="3"/>
            <w:noWrap/>
            <w:vAlign w:val="center"/>
          </w:tcPr>
          <w:p>
            <w:pPr>
              <w:jc w:val="center"/>
              <w:rPr>
                <w:rFonts w:eastAsia="仿宋"/>
              </w:rPr>
            </w:pPr>
            <w:r>
              <w:rPr>
                <w:rFonts w:eastAsia="仿宋"/>
              </w:rPr>
              <w:t>hydrogen chloride</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8" w:type="dxa"/>
            <w:noWrap/>
            <w:vAlign w:val="center"/>
          </w:tcPr>
          <w:p>
            <w:pPr>
              <w:jc w:val="center"/>
              <w:rPr>
                <w:rFonts w:eastAsia="仿宋"/>
                <w:b/>
                <w:bCs/>
              </w:rPr>
            </w:pPr>
            <w:r>
              <w:rPr>
                <w:rFonts w:eastAsia="仿宋"/>
                <w:b/>
                <w:bCs/>
              </w:rPr>
              <w:t>别名</w:t>
            </w:r>
          </w:p>
        </w:tc>
        <w:tc>
          <w:tcPr>
            <w:tcW w:w="7575" w:type="dxa"/>
            <w:gridSpan w:val="3"/>
            <w:noWrap/>
            <w:vAlign w:val="center"/>
          </w:tcPr>
          <w:p>
            <w:pPr>
              <w:jc w:val="center"/>
              <w:rPr>
                <w:rFonts w:eastAsia="仿宋"/>
              </w:rPr>
            </w:pPr>
            <w:r>
              <w:rPr>
                <w:rFonts w:eastAsia="仿宋"/>
              </w:rPr>
              <w:t>盐酸</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8" w:type="dxa"/>
            <w:noWrap/>
            <w:vAlign w:val="center"/>
          </w:tcPr>
          <w:p>
            <w:pPr>
              <w:jc w:val="center"/>
              <w:rPr>
                <w:rFonts w:eastAsia="仿宋"/>
                <w:b/>
                <w:bCs/>
              </w:rPr>
            </w:pPr>
            <w:r>
              <w:rPr>
                <w:rFonts w:eastAsia="仿宋"/>
                <w:b/>
                <w:bCs/>
              </w:rPr>
              <w:t>分子式</w:t>
            </w:r>
          </w:p>
        </w:tc>
        <w:tc>
          <w:tcPr>
            <w:tcW w:w="1695" w:type="dxa"/>
            <w:noWrap/>
            <w:vAlign w:val="center"/>
          </w:tcPr>
          <w:p>
            <w:pPr>
              <w:jc w:val="center"/>
              <w:rPr>
                <w:rFonts w:eastAsia="仿宋"/>
              </w:rPr>
            </w:pPr>
            <w:r>
              <w:rPr>
                <w:rFonts w:eastAsia="仿宋"/>
              </w:rPr>
              <w:t>HCl</w:t>
            </w:r>
          </w:p>
        </w:tc>
        <w:tc>
          <w:tcPr>
            <w:tcW w:w="1460" w:type="dxa"/>
            <w:noWrap/>
            <w:vAlign w:val="center"/>
          </w:tcPr>
          <w:p>
            <w:pPr>
              <w:jc w:val="center"/>
              <w:rPr>
                <w:rFonts w:eastAsia="仿宋"/>
                <w:b/>
                <w:bCs/>
              </w:rPr>
            </w:pPr>
            <w:r>
              <w:rPr>
                <w:rFonts w:eastAsia="仿宋"/>
                <w:b/>
                <w:bCs/>
              </w:rPr>
              <w:t>外观与性状</w:t>
            </w:r>
          </w:p>
        </w:tc>
        <w:tc>
          <w:tcPr>
            <w:tcW w:w="4420" w:type="dxa"/>
            <w:noWrap/>
            <w:vAlign w:val="center"/>
          </w:tcPr>
          <w:p>
            <w:pPr>
              <w:jc w:val="center"/>
              <w:rPr>
                <w:rFonts w:eastAsia="仿宋"/>
              </w:rPr>
            </w:pPr>
            <w:r>
              <w:rPr>
                <w:rFonts w:eastAsia="仿宋"/>
              </w:rPr>
              <w:t>无色有刺激性气味的气体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98" w:type="dxa"/>
            <w:noWrap/>
            <w:vAlign w:val="center"/>
          </w:tcPr>
          <w:p>
            <w:pPr>
              <w:jc w:val="center"/>
              <w:rPr>
                <w:rFonts w:eastAsia="仿宋"/>
                <w:b/>
                <w:bCs/>
              </w:rPr>
            </w:pPr>
            <w:r>
              <w:rPr>
                <w:rFonts w:eastAsia="仿宋"/>
                <w:b/>
                <w:bCs/>
              </w:rPr>
              <w:t>分子量</w:t>
            </w:r>
          </w:p>
        </w:tc>
        <w:tc>
          <w:tcPr>
            <w:tcW w:w="1695" w:type="dxa"/>
            <w:noWrap/>
            <w:vAlign w:val="center"/>
          </w:tcPr>
          <w:p>
            <w:pPr>
              <w:jc w:val="center"/>
              <w:rPr>
                <w:rFonts w:eastAsia="仿宋"/>
              </w:rPr>
            </w:pPr>
            <w:r>
              <w:rPr>
                <w:rFonts w:eastAsia="仿宋"/>
              </w:rPr>
              <w:t>36.46</w:t>
            </w:r>
          </w:p>
        </w:tc>
        <w:tc>
          <w:tcPr>
            <w:tcW w:w="1460" w:type="dxa"/>
            <w:noWrap/>
            <w:vAlign w:val="center"/>
          </w:tcPr>
          <w:p>
            <w:pPr>
              <w:jc w:val="center"/>
              <w:rPr>
                <w:rFonts w:eastAsia="仿宋"/>
                <w:b/>
                <w:bCs/>
              </w:rPr>
            </w:pPr>
            <w:r>
              <w:rPr>
                <w:rFonts w:eastAsia="仿宋"/>
                <w:b/>
                <w:bCs/>
              </w:rPr>
              <w:t>蒸汽压</w:t>
            </w:r>
          </w:p>
        </w:tc>
        <w:tc>
          <w:tcPr>
            <w:tcW w:w="4420" w:type="dxa"/>
            <w:noWrap/>
            <w:vAlign w:val="center"/>
          </w:tcPr>
          <w:p>
            <w:pPr>
              <w:jc w:val="center"/>
              <w:rPr>
                <w:rFonts w:eastAsia="仿宋"/>
              </w:rPr>
            </w:pPr>
            <w:r>
              <w:rPr>
                <w:rFonts w:eastAsia="仿宋"/>
              </w:rPr>
              <w:t>4225.6kPa(20℃)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598" w:type="dxa"/>
            <w:noWrap/>
            <w:vAlign w:val="center"/>
          </w:tcPr>
          <w:p>
            <w:pPr>
              <w:jc w:val="center"/>
              <w:rPr>
                <w:rFonts w:eastAsia="仿宋"/>
                <w:b/>
                <w:bCs/>
              </w:rPr>
            </w:pPr>
            <w:r>
              <w:rPr>
                <w:rFonts w:eastAsia="仿宋"/>
                <w:b/>
                <w:bCs/>
              </w:rPr>
              <w:t>熔点</w:t>
            </w:r>
          </w:p>
        </w:tc>
        <w:tc>
          <w:tcPr>
            <w:tcW w:w="1695" w:type="dxa"/>
            <w:noWrap/>
            <w:vAlign w:val="center"/>
          </w:tcPr>
          <w:p>
            <w:pPr>
              <w:jc w:val="center"/>
              <w:rPr>
                <w:rFonts w:eastAsia="仿宋"/>
              </w:rPr>
            </w:pPr>
            <w:r>
              <w:rPr>
                <w:rFonts w:eastAsia="仿宋"/>
              </w:rPr>
              <w:t>-114.2℃  </w:t>
            </w:r>
          </w:p>
          <w:p>
            <w:pPr>
              <w:jc w:val="center"/>
              <w:rPr>
                <w:rFonts w:eastAsia="仿宋"/>
              </w:rPr>
            </w:pPr>
            <w:r>
              <w:rPr>
                <w:rFonts w:eastAsia="仿宋"/>
              </w:rPr>
              <w:t>沸点：-85.0℃</w:t>
            </w:r>
          </w:p>
        </w:tc>
        <w:tc>
          <w:tcPr>
            <w:tcW w:w="1460" w:type="dxa"/>
            <w:noWrap/>
            <w:vAlign w:val="center"/>
          </w:tcPr>
          <w:p>
            <w:pPr>
              <w:jc w:val="center"/>
              <w:rPr>
                <w:rFonts w:eastAsia="仿宋"/>
                <w:b/>
                <w:bCs/>
              </w:rPr>
            </w:pPr>
            <w:r>
              <w:rPr>
                <w:rFonts w:eastAsia="仿宋"/>
                <w:b/>
                <w:bCs/>
              </w:rPr>
              <w:t>溶解性</w:t>
            </w:r>
          </w:p>
        </w:tc>
        <w:tc>
          <w:tcPr>
            <w:tcW w:w="4420" w:type="dxa"/>
            <w:noWrap/>
            <w:vAlign w:val="center"/>
          </w:tcPr>
          <w:p>
            <w:pPr>
              <w:jc w:val="center"/>
              <w:rPr>
                <w:rFonts w:eastAsia="仿宋"/>
              </w:rPr>
            </w:pPr>
            <w:r>
              <w:rPr>
                <w:rFonts w:eastAsia="仿宋"/>
              </w:rPr>
              <w:t>易溶于水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598" w:type="dxa"/>
            <w:noWrap/>
            <w:vAlign w:val="center"/>
          </w:tcPr>
          <w:p>
            <w:pPr>
              <w:jc w:val="center"/>
              <w:rPr>
                <w:rFonts w:eastAsia="仿宋"/>
                <w:b/>
                <w:bCs/>
              </w:rPr>
            </w:pPr>
            <w:r>
              <w:rPr>
                <w:rFonts w:eastAsia="仿宋"/>
                <w:b/>
                <w:bCs/>
              </w:rPr>
              <w:t>稳定性</w:t>
            </w:r>
          </w:p>
        </w:tc>
        <w:tc>
          <w:tcPr>
            <w:tcW w:w="1695" w:type="dxa"/>
            <w:noWrap/>
            <w:vAlign w:val="center"/>
          </w:tcPr>
          <w:p>
            <w:pPr>
              <w:jc w:val="center"/>
              <w:rPr>
                <w:rFonts w:eastAsia="仿宋"/>
              </w:rPr>
            </w:pPr>
            <w:r>
              <w:rPr>
                <w:rFonts w:eastAsia="仿宋"/>
              </w:rPr>
              <w:t>稳定</w:t>
            </w:r>
          </w:p>
        </w:tc>
        <w:tc>
          <w:tcPr>
            <w:tcW w:w="1460" w:type="dxa"/>
            <w:noWrap/>
            <w:vAlign w:val="center"/>
          </w:tcPr>
          <w:p>
            <w:pPr>
              <w:jc w:val="center"/>
              <w:rPr>
                <w:rFonts w:eastAsia="仿宋"/>
                <w:b/>
                <w:bCs/>
              </w:rPr>
            </w:pPr>
            <w:r>
              <w:rPr>
                <w:rFonts w:eastAsia="仿宋"/>
                <w:b/>
                <w:bCs/>
              </w:rPr>
              <w:t>密度</w:t>
            </w:r>
          </w:p>
        </w:tc>
        <w:tc>
          <w:tcPr>
            <w:tcW w:w="4420" w:type="dxa"/>
            <w:noWrap/>
            <w:vAlign w:val="center"/>
          </w:tcPr>
          <w:p>
            <w:pPr>
              <w:jc w:val="center"/>
              <w:rPr>
                <w:rFonts w:eastAsia="仿宋"/>
              </w:rPr>
            </w:pPr>
            <w:r>
              <w:rPr>
                <w:rFonts w:eastAsia="仿宋"/>
              </w:rPr>
              <w:t>相对密度(水=1)1.19；相对密度(空气=1)1.27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598" w:type="dxa"/>
            <w:noWrap/>
            <w:vAlign w:val="center"/>
          </w:tcPr>
          <w:p>
            <w:pPr>
              <w:jc w:val="center"/>
              <w:rPr>
                <w:rFonts w:eastAsia="仿宋"/>
                <w:b/>
                <w:bCs/>
              </w:rPr>
            </w:pPr>
            <w:r>
              <w:rPr>
                <w:rFonts w:eastAsia="仿宋"/>
                <w:b/>
                <w:bCs/>
              </w:rPr>
              <w:t>危险标记</w:t>
            </w:r>
          </w:p>
        </w:tc>
        <w:tc>
          <w:tcPr>
            <w:tcW w:w="1695" w:type="dxa"/>
            <w:noWrap/>
            <w:vAlign w:val="center"/>
          </w:tcPr>
          <w:p>
            <w:pPr>
              <w:jc w:val="center"/>
              <w:rPr>
                <w:rFonts w:eastAsia="仿宋"/>
              </w:rPr>
            </w:pPr>
            <w:r>
              <w:rPr>
                <w:rFonts w:eastAsia="仿宋"/>
              </w:rPr>
              <w:t>5(不燃气体)</w:t>
            </w:r>
          </w:p>
        </w:tc>
        <w:tc>
          <w:tcPr>
            <w:tcW w:w="1460" w:type="dxa"/>
            <w:noWrap/>
            <w:vAlign w:val="center"/>
          </w:tcPr>
          <w:p>
            <w:pPr>
              <w:jc w:val="center"/>
              <w:rPr>
                <w:rFonts w:eastAsia="仿宋"/>
                <w:b/>
                <w:bCs/>
              </w:rPr>
            </w:pPr>
            <w:r>
              <w:rPr>
                <w:rFonts w:eastAsia="仿宋"/>
                <w:b/>
                <w:bCs/>
              </w:rPr>
              <w:t>主要用途</w:t>
            </w:r>
          </w:p>
        </w:tc>
        <w:tc>
          <w:tcPr>
            <w:tcW w:w="4420" w:type="dxa"/>
            <w:noWrap/>
            <w:vAlign w:val="center"/>
          </w:tcPr>
          <w:p>
            <w:pPr>
              <w:jc w:val="center"/>
              <w:rPr>
                <w:rFonts w:eastAsia="仿宋"/>
              </w:rPr>
            </w:pPr>
            <w:r>
              <w:rPr>
                <w:rFonts w:eastAsia="仿宋"/>
              </w:rPr>
              <w:t>制染料、香料、药物、各种氯化物及腐蚀抑制剂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598" w:type="dxa"/>
            <w:vMerge w:val="restart"/>
            <w:noWrap/>
            <w:vAlign w:val="center"/>
          </w:tcPr>
          <w:p>
            <w:pPr>
              <w:jc w:val="center"/>
              <w:rPr>
                <w:rFonts w:eastAsia="仿宋"/>
                <w:b/>
                <w:bCs/>
              </w:rPr>
            </w:pPr>
            <w:r>
              <w:rPr>
                <w:rFonts w:eastAsia="仿宋"/>
                <w:b/>
                <w:bCs/>
              </w:rPr>
              <w:t>对环境的影响</w:t>
            </w:r>
          </w:p>
        </w:tc>
        <w:tc>
          <w:tcPr>
            <w:tcW w:w="1695" w:type="dxa"/>
            <w:noWrap/>
            <w:vAlign w:val="center"/>
          </w:tcPr>
          <w:p>
            <w:pPr>
              <w:jc w:val="center"/>
              <w:rPr>
                <w:rFonts w:eastAsia="仿宋"/>
                <w:b/>
                <w:bCs/>
              </w:rPr>
            </w:pPr>
            <w:r>
              <w:rPr>
                <w:rFonts w:eastAsia="仿宋"/>
                <w:b/>
                <w:bCs/>
              </w:rPr>
              <w:t>健康危害</w:t>
            </w:r>
          </w:p>
        </w:tc>
        <w:tc>
          <w:tcPr>
            <w:tcW w:w="5880" w:type="dxa"/>
            <w:gridSpan w:val="2"/>
            <w:noWrap/>
            <w:vAlign w:val="center"/>
          </w:tcPr>
          <w:p>
            <w:pPr>
              <w:jc w:val="left"/>
              <w:rPr>
                <w:rFonts w:eastAsia="仿宋"/>
              </w:rPr>
            </w:pPr>
            <w:r>
              <w:rPr>
                <w:rFonts w:eastAsia="仿宋"/>
              </w:rPr>
              <w:t>浸入途径：吸入。</w:t>
            </w:r>
          </w:p>
          <w:p>
            <w:pPr>
              <w:jc w:val="left"/>
              <w:rPr>
                <w:rFonts w:eastAsia="仿宋"/>
              </w:rPr>
            </w:pPr>
            <w:r>
              <w:rPr>
                <w:rFonts w:eastAsia="仿宋"/>
              </w:rPr>
              <w:t>健康危害：本品对眼和呼吸道粘膜有强烈的刺激作用。</w:t>
            </w:r>
          </w:p>
          <w:p>
            <w:pPr>
              <w:jc w:val="left"/>
              <w:rPr>
                <w:rFonts w:eastAsia="仿宋"/>
              </w:rPr>
            </w:pPr>
            <w:r>
              <w:rPr>
                <w:rFonts w:eastAsia="仿宋"/>
              </w:rPr>
              <w:t>急性中毒：出现头痛、头昏、恶心、眼痛、咳嗽、痰中带血、声音嘶哑、呼吸困难、胸闷、胸痛等。重者发生肺炎、肺水肿、肺不张。眼角膜可见溃疡或混浊。皮肤直接接触可出现大量粟粒样红色小丘疹而呈潮红痛热。</w:t>
            </w:r>
          </w:p>
          <w:p>
            <w:pPr>
              <w:jc w:val="left"/>
              <w:rPr>
                <w:rFonts w:eastAsia="仿宋"/>
              </w:rPr>
            </w:pPr>
            <w:r>
              <w:rPr>
                <w:rFonts w:eastAsia="仿宋"/>
              </w:rPr>
              <w:t>慢性影响：长期较高浓度接触，可引起慢性支气管炎、胃肠功能障碍及牙齿酸蚀症。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598" w:type="dxa"/>
            <w:vMerge w:val="continue"/>
            <w:noWrap/>
            <w:vAlign w:val="center"/>
          </w:tcPr>
          <w:p>
            <w:pPr>
              <w:jc w:val="center"/>
              <w:rPr>
                <w:rFonts w:eastAsia="仿宋"/>
                <w:b/>
                <w:bCs/>
              </w:rPr>
            </w:pPr>
          </w:p>
        </w:tc>
        <w:tc>
          <w:tcPr>
            <w:tcW w:w="1695" w:type="dxa"/>
            <w:noWrap/>
            <w:vAlign w:val="center"/>
          </w:tcPr>
          <w:p>
            <w:pPr>
              <w:jc w:val="center"/>
              <w:rPr>
                <w:rFonts w:eastAsia="仿宋"/>
                <w:b/>
                <w:bCs/>
              </w:rPr>
            </w:pPr>
            <w:r>
              <w:rPr>
                <w:rFonts w:eastAsia="仿宋"/>
                <w:b/>
                <w:bCs/>
              </w:rPr>
              <w:t>毒理学资料及环境行为</w:t>
            </w:r>
          </w:p>
        </w:tc>
        <w:tc>
          <w:tcPr>
            <w:tcW w:w="5880" w:type="dxa"/>
            <w:gridSpan w:val="2"/>
            <w:noWrap/>
            <w:vAlign w:val="center"/>
          </w:tcPr>
          <w:p>
            <w:pPr>
              <w:jc w:val="left"/>
              <w:rPr>
                <w:rFonts w:eastAsia="仿宋"/>
              </w:rPr>
            </w:pPr>
            <w:r>
              <w:rPr>
                <w:rFonts w:eastAsia="仿宋"/>
              </w:rPr>
              <w:t>急性毒性：LD</w:t>
            </w:r>
            <w:r>
              <w:rPr>
                <w:rFonts w:eastAsia="仿宋"/>
                <w:vertAlign w:val="subscript"/>
              </w:rPr>
              <w:t>50</w:t>
            </w:r>
            <w:r>
              <w:rPr>
                <w:rFonts w:eastAsia="仿宋"/>
              </w:rPr>
              <w:t>400mg/kg(兔经口)；LC</w:t>
            </w:r>
            <w:r>
              <w:rPr>
                <w:rFonts w:eastAsia="仿宋"/>
                <w:vertAlign w:val="subscript"/>
              </w:rPr>
              <w:t>50</w:t>
            </w:r>
            <w:r>
              <w:rPr>
                <w:rFonts w:eastAsia="仿宋"/>
              </w:rPr>
              <w:t>4600mg/m</w:t>
            </w:r>
            <w:r>
              <w:rPr>
                <w:rFonts w:eastAsia="仿宋"/>
                <w:vertAlign w:val="superscript"/>
              </w:rPr>
              <w:t>3</w:t>
            </w:r>
            <w:r>
              <w:rPr>
                <w:rFonts w:eastAsia="仿宋"/>
              </w:rPr>
              <w:t>，1小时(大鼠吸入)</w:t>
            </w:r>
          </w:p>
          <w:p>
            <w:pPr>
              <w:jc w:val="left"/>
              <w:rPr>
                <w:rFonts w:eastAsia="仿宋"/>
              </w:rPr>
            </w:pPr>
            <w:r>
              <w:rPr>
                <w:rFonts w:eastAsia="仿宋"/>
              </w:rPr>
              <w:t>污染来源：氯化氢可由氯和氢直接合成，或是使氯及水蒸气通过燃烧的焦炭而制成。氯化氢主要用于制造氯化钡、氯化铵等，在冶金、制造染料、皮革的鞣制及染色，纺织以及有关化工生产中亦常用。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598" w:type="dxa"/>
            <w:vMerge w:val="continue"/>
            <w:noWrap/>
            <w:vAlign w:val="center"/>
          </w:tcPr>
          <w:p>
            <w:pPr>
              <w:jc w:val="center"/>
              <w:rPr>
                <w:rFonts w:eastAsia="仿宋"/>
                <w:b/>
                <w:bCs/>
              </w:rPr>
            </w:pPr>
          </w:p>
        </w:tc>
        <w:tc>
          <w:tcPr>
            <w:tcW w:w="1695" w:type="dxa"/>
            <w:noWrap/>
            <w:vAlign w:val="center"/>
          </w:tcPr>
          <w:p>
            <w:pPr>
              <w:jc w:val="center"/>
              <w:rPr>
                <w:rFonts w:eastAsia="仿宋"/>
                <w:b/>
                <w:bCs/>
              </w:rPr>
            </w:pPr>
            <w:r>
              <w:rPr>
                <w:rFonts w:eastAsia="仿宋"/>
                <w:b/>
                <w:bCs/>
              </w:rPr>
              <w:t>危险特性</w:t>
            </w:r>
          </w:p>
        </w:tc>
        <w:tc>
          <w:tcPr>
            <w:tcW w:w="5880" w:type="dxa"/>
            <w:gridSpan w:val="2"/>
            <w:noWrap/>
            <w:vAlign w:val="center"/>
          </w:tcPr>
          <w:p>
            <w:pPr>
              <w:jc w:val="left"/>
              <w:rPr>
                <w:rFonts w:eastAsia="仿宋"/>
              </w:rPr>
            </w:pPr>
            <w:r>
              <w:rPr>
                <w:rFonts w:eastAsia="仿宋"/>
              </w:rPr>
              <w:t>危险特性：无水氯化氢无腐蚀性，但遇水时有强腐蚀性。能与一些活性金属粉末发生反应，放出氢气。遇氰化物能产生居毒的氰化氢气体。</w:t>
            </w:r>
          </w:p>
          <w:p>
            <w:pPr>
              <w:jc w:val="left"/>
              <w:rPr>
                <w:rFonts w:eastAsia="仿宋"/>
              </w:rPr>
            </w:pPr>
            <w:r>
              <w:rPr>
                <w:rFonts w:eastAsia="仿宋"/>
              </w:rPr>
              <w:t>燃烧(分解)产物：氯化氢。</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598" w:type="dxa"/>
            <w:vMerge w:val="restart"/>
            <w:noWrap/>
            <w:vAlign w:val="center"/>
          </w:tcPr>
          <w:p>
            <w:pPr>
              <w:jc w:val="center"/>
              <w:rPr>
                <w:rFonts w:eastAsia="仿宋"/>
                <w:b/>
                <w:bCs/>
              </w:rPr>
            </w:pPr>
            <w:r>
              <w:rPr>
                <w:rFonts w:eastAsia="仿宋"/>
                <w:b/>
                <w:bCs/>
              </w:rPr>
              <w:t>应急处理处置方法</w:t>
            </w:r>
          </w:p>
        </w:tc>
        <w:tc>
          <w:tcPr>
            <w:tcW w:w="1695" w:type="dxa"/>
            <w:noWrap/>
            <w:vAlign w:val="center"/>
          </w:tcPr>
          <w:p>
            <w:pPr>
              <w:jc w:val="center"/>
              <w:rPr>
                <w:rFonts w:eastAsia="仿宋"/>
                <w:b/>
                <w:bCs/>
              </w:rPr>
            </w:pPr>
            <w:r>
              <w:rPr>
                <w:rFonts w:eastAsia="仿宋"/>
                <w:b/>
                <w:bCs/>
              </w:rPr>
              <w:t>泄漏应急处理</w:t>
            </w:r>
          </w:p>
        </w:tc>
        <w:tc>
          <w:tcPr>
            <w:tcW w:w="5880" w:type="dxa"/>
            <w:gridSpan w:val="2"/>
            <w:noWrap/>
            <w:vAlign w:val="center"/>
          </w:tcPr>
          <w:p>
            <w:pPr>
              <w:jc w:val="left"/>
              <w:rPr>
                <w:rFonts w:eastAsia="仿宋"/>
              </w:rPr>
            </w:pPr>
            <w:r>
              <w:rPr>
                <w:rFonts w:eastAsia="仿宋"/>
              </w:rPr>
              <w:t>迅速撤离泄漏污染区人员至上风处，并进行隔离，小泄漏时隔离150米，大泄漏时隔离300米，严格限制出入。建议应急处理人员戴自给正压式呼吸器，穿防毒服。从上风处进入现场。尽可能切断泄漏源。合理通风，加速扩散。喷氨水或其它稀碱液中和。构筑围堤或挖坑收容产生的大量废水。如有可能，将残余气或漏出气用排风机送至水洗塔或与塔相连的通风橱内。漏气容器要妥善处理，修复、检验后再用。</w:t>
            </w:r>
          </w:p>
          <w:p>
            <w:pPr>
              <w:jc w:val="left"/>
              <w:rPr>
                <w:rFonts w:eastAsia="仿宋"/>
              </w:rPr>
            </w:pPr>
            <w:r>
              <w:rPr>
                <w:rFonts w:eastAsia="仿宋"/>
              </w:rPr>
              <w:t>废弃物处置方法：建议废料用碱液-石灰水中和，生成氯化钠和氯化钙，用水稀释后排放，从加工过程的废气中回收氯化氢。</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598" w:type="dxa"/>
            <w:vMerge w:val="continue"/>
            <w:noWrap/>
            <w:vAlign w:val="center"/>
          </w:tcPr>
          <w:p>
            <w:pPr>
              <w:jc w:val="center"/>
              <w:rPr>
                <w:rFonts w:eastAsia="仿宋"/>
                <w:b/>
                <w:bCs/>
              </w:rPr>
            </w:pPr>
          </w:p>
        </w:tc>
        <w:tc>
          <w:tcPr>
            <w:tcW w:w="1695" w:type="dxa"/>
            <w:noWrap/>
            <w:vAlign w:val="center"/>
          </w:tcPr>
          <w:p>
            <w:pPr>
              <w:jc w:val="center"/>
              <w:rPr>
                <w:rFonts w:eastAsia="仿宋"/>
                <w:b/>
                <w:bCs/>
              </w:rPr>
            </w:pPr>
            <w:r>
              <w:rPr>
                <w:rFonts w:eastAsia="仿宋"/>
                <w:b/>
                <w:bCs/>
              </w:rPr>
              <w:t>防护措施</w:t>
            </w:r>
          </w:p>
        </w:tc>
        <w:tc>
          <w:tcPr>
            <w:tcW w:w="5880" w:type="dxa"/>
            <w:gridSpan w:val="2"/>
            <w:noWrap/>
            <w:vAlign w:val="center"/>
          </w:tcPr>
          <w:p>
            <w:pPr>
              <w:jc w:val="left"/>
              <w:rPr>
                <w:rFonts w:eastAsia="仿宋"/>
              </w:rPr>
            </w:pPr>
            <w:r>
              <w:rPr>
                <w:rFonts w:eastAsia="仿宋"/>
              </w:rPr>
              <w:t>呼吸系统防护：空气中浓度超标时，佩戴过滤式防毒面具(半面罩)。紧急事态抢救或撤离时，建议佩戴空气呼吸器。</w:t>
            </w:r>
          </w:p>
          <w:p>
            <w:pPr>
              <w:jc w:val="left"/>
              <w:rPr>
                <w:rFonts w:eastAsia="仿宋"/>
              </w:rPr>
            </w:pPr>
            <w:r>
              <w:rPr>
                <w:rFonts w:eastAsia="仿宋"/>
              </w:rPr>
              <w:t>眼睛防护：必要时，戴化学安全防护眼镜。</w:t>
            </w:r>
          </w:p>
          <w:p>
            <w:pPr>
              <w:jc w:val="left"/>
              <w:rPr>
                <w:rFonts w:eastAsia="仿宋"/>
              </w:rPr>
            </w:pPr>
            <w:r>
              <w:rPr>
                <w:rFonts w:eastAsia="仿宋"/>
              </w:rPr>
              <w:t>身体防护：穿化学防护服。</w:t>
            </w:r>
          </w:p>
          <w:p>
            <w:pPr>
              <w:jc w:val="left"/>
              <w:rPr>
                <w:rFonts w:eastAsia="仿宋"/>
              </w:rPr>
            </w:pPr>
            <w:r>
              <w:rPr>
                <w:rFonts w:eastAsia="仿宋"/>
              </w:rPr>
              <w:t>手防护：戴橡胶手套。</w:t>
            </w:r>
          </w:p>
          <w:p>
            <w:pPr>
              <w:jc w:val="left"/>
              <w:rPr>
                <w:rFonts w:eastAsia="仿宋"/>
              </w:rPr>
            </w:pPr>
            <w:r>
              <w:rPr>
                <w:rFonts w:eastAsia="仿宋"/>
              </w:rPr>
              <w:t>其它：工作毕，淋浴更衣。保持良好的卫生习惯。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598" w:type="dxa"/>
            <w:vMerge w:val="continue"/>
            <w:noWrap/>
            <w:vAlign w:val="center"/>
          </w:tcPr>
          <w:p>
            <w:pPr>
              <w:jc w:val="center"/>
              <w:rPr>
                <w:rFonts w:eastAsia="仿宋"/>
                <w:b/>
                <w:bCs/>
              </w:rPr>
            </w:pPr>
          </w:p>
        </w:tc>
        <w:tc>
          <w:tcPr>
            <w:tcW w:w="1695" w:type="dxa"/>
            <w:noWrap/>
            <w:vAlign w:val="center"/>
          </w:tcPr>
          <w:p>
            <w:pPr>
              <w:jc w:val="center"/>
              <w:rPr>
                <w:rFonts w:eastAsia="仿宋"/>
                <w:b/>
                <w:bCs/>
              </w:rPr>
            </w:pPr>
            <w:r>
              <w:rPr>
                <w:rFonts w:eastAsia="仿宋"/>
                <w:b/>
                <w:bCs/>
              </w:rPr>
              <w:t>急救措施</w:t>
            </w:r>
          </w:p>
        </w:tc>
        <w:tc>
          <w:tcPr>
            <w:tcW w:w="5880" w:type="dxa"/>
            <w:gridSpan w:val="2"/>
            <w:noWrap/>
            <w:vAlign w:val="center"/>
          </w:tcPr>
          <w:p>
            <w:pPr>
              <w:jc w:val="left"/>
              <w:rPr>
                <w:rFonts w:eastAsia="仿宋"/>
              </w:rPr>
            </w:pPr>
            <w:r>
              <w:rPr>
                <w:rFonts w:eastAsia="仿宋"/>
              </w:rPr>
              <w:t>皮肤接触：立即脱去被污染的衣着，用大量流动清水冲洗，至少15分钟。就医。</w:t>
            </w:r>
          </w:p>
          <w:p>
            <w:pPr>
              <w:jc w:val="left"/>
              <w:rPr>
                <w:rFonts w:eastAsia="仿宋"/>
              </w:rPr>
            </w:pPr>
            <w:r>
              <w:rPr>
                <w:rFonts w:eastAsia="仿宋"/>
              </w:rPr>
              <w:t>眼睛接触：立即提起眼睑，用大量 流动清水或生理盐水彻底冲洗至少15分钟。就医。</w:t>
            </w:r>
          </w:p>
          <w:p>
            <w:pPr>
              <w:jc w:val="left"/>
              <w:rPr>
                <w:rFonts w:eastAsia="仿宋"/>
              </w:rPr>
            </w:pPr>
            <w:r>
              <w:rPr>
                <w:rFonts w:eastAsia="仿宋"/>
              </w:rPr>
              <w:t>吸入：迅速脱离现场至空气新鲜处。保持呼吸道通畅。如呼吸困难，给输氧。如呼吸停止，立即进行人工呼吸。就医。</w:t>
            </w:r>
          </w:p>
          <w:p>
            <w:pPr>
              <w:jc w:val="left"/>
              <w:rPr>
                <w:rFonts w:eastAsia="仿宋"/>
              </w:rPr>
            </w:pPr>
            <w:r>
              <w:rPr>
                <w:rFonts w:eastAsia="仿宋"/>
              </w:rPr>
              <w:t>灭火方法：本品不燃。但与其它物品接触引起火灾时，消防人员须穿戴全身防护服，关闭火场中储罐的阀门，减弱火势，并用水喷淋保护去关闭阀门的人员。喷水冷却容器，可能的话将容器从火场移至空旷处。</w:t>
            </w:r>
          </w:p>
        </w:tc>
      </w:tr>
    </w:tbl>
    <w:p>
      <w:pPr>
        <w:pStyle w:val="137"/>
        <w:spacing w:before="120" w:after="120"/>
        <w:rPr>
          <w:rFonts w:ascii="仿宋" w:hAnsi="仿宋" w:eastAsia="仿宋" w:cs="仿宋"/>
          <w:bCs/>
          <w:snapToGrid w:val="0"/>
          <w:color w:val="auto"/>
          <w:sz w:val="28"/>
          <w:szCs w:val="28"/>
        </w:rPr>
      </w:pPr>
      <w:r>
        <w:rPr>
          <w:rFonts w:hint="eastAsia" w:ascii="仿宋" w:hAnsi="仿宋" w:eastAsia="仿宋" w:cs="仿宋"/>
          <w:bCs/>
          <w:snapToGrid w:val="0"/>
          <w:color w:val="auto"/>
          <w:sz w:val="28"/>
          <w:szCs w:val="28"/>
        </w:rPr>
        <w:t>物质性质一览表—液氯</w:t>
      </w:r>
    </w:p>
    <w:tbl>
      <w:tblPr>
        <w:tblStyle w:val="35"/>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Layout w:type="fixed"/>
        <w:tblCellMar>
          <w:top w:w="0" w:type="dxa"/>
          <w:left w:w="0" w:type="dxa"/>
          <w:bottom w:w="0" w:type="dxa"/>
          <w:right w:w="0" w:type="dxa"/>
        </w:tblCellMar>
      </w:tblPr>
      <w:tblGrid>
        <w:gridCol w:w="1183"/>
        <w:gridCol w:w="3574"/>
        <w:gridCol w:w="1430"/>
        <w:gridCol w:w="277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国标编号</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val="zh-TW" w:eastAsia="zh-TW"/>
              </w:rPr>
              <w:t>23002</w:t>
            </w:r>
          </w:p>
        </w:tc>
        <w:tc>
          <w:tcPr>
            <w:tcW w:w="1430" w:type="dxa"/>
            <w:shd w:val="clear" w:color="auto" w:fill="FFFFFF"/>
            <w:noWrap/>
            <w:vAlign w:val="center"/>
          </w:tcPr>
          <w:p>
            <w:pPr>
              <w:pStyle w:val="18"/>
              <w:jc w:val="center"/>
              <w:rPr>
                <w:rFonts w:eastAsia="仿宋"/>
                <w:b/>
                <w:bCs/>
                <w:sz w:val="21"/>
                <w:szCs w:val="21"/>
              </w:rPr>
            </w:pPr>
            <w:r>
              <w:rPr>
                <w:rStyle w:val="139"/>
                <w:rFonts w:ascii="Times New Roman" w:eastAsia="仿宋" w:cs="Times New Roman"/>
                <w:b/>
                <w:bCs/>
                <w:sz w:val="21"/>
                <w:szCs w:val="21"/>
              </w:rPr>
              <w:t>CAS</w:t>
            </w:r>
            <w:r>
              <w:rPr>
                <w:rStyle w:val="138"/>
                <w:rFonts w:ascii="Times New Roman" w:eastAsia="仿宋" w:cs="Times New Roman"/>
                <w:b/>
                <w:bCs/>
                <w:spacing w:val="0"/>
                <w:lang w:val="zh-TW" w:eastAsia="zh-TW"/>
              </w:rPr>
              <w:t>号</w:t>
            </w:r>
          </w:p>
        </w:tc>
        <w:tc>
          <w:tcPr>
            <w:tcW w:w="2770"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rPr>
              <w:t>7782-50-5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中文名称</w:t>
            </w:r>
          </w:p>
        </w:tc>
        <w:tc>
          <w:tcPr>
            <w:tcW w:w="3574"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氯气；液氯</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英文名称</w:t>
            </w:r>
          </w:p>
        </w:tc>
        <w:tc>
          <w:tcPr>
            <w:tcW w:w="2770"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rPr>
              <w:t>chlorine</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分子式</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rPr>
              <w:t>Cl</w:t>
            </w:r>
            <w:r>
              <w:rPr>
                <w:rStyle w:val="139"/>
                <w:rFonts w:ascii="Times New Roman" w:eastAsia="仿宋" w:cs="Times New Roman"/>
                <w:sz w:val="21"/>
                <w:szCs w:val="21"/>
                <w:vertAlign w:val="subscript"/>
              </w:rPr>
              <w:t>2</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外观与性状</w:t>
            </w:r>
          </w:p>
        </w:tc>
        <w:tc>
          <w:tcPr>
            <w:tcW w:w="2770"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黄绿色有刺激性气味的气体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分子量</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val="zh-TW" w:eastAsia="zh-TW"/>
              </w:rPr>
              <w:t>71</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蒸汽压</w:t>
            </w:r>
          </w:p>
        </w:tc>
        <w:tc>
          <w:tcPr>
            <w:tcW w:w="2770"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rPr>
              <w:t>506.62kPa(10.3</w:t>
            </w:r>
            <w:r>
              <w:rPr>
                <w:rStyle w:val="138"/>
                <w:rFonts w:ascii="Times New Roman" w:eastAsia="仿宋" w:cs="Times New Roman"/>
                <w:spacing w:val="0"/>
              </w:rPr>
              <w:t>℃</w:t>
            </w:r>
            <w:r>
              <w:rPr>
                <w:rStyle w:val="138"/>
                <w:rFonts w:ascii="Times New Roman" w:eastAsia="仿宋" w:cs="Times New Roman"/>
                <w:spacing w:val="0"/>
                <w:lang w:eastAsia="en-US"/>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熔点</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val="zh-TW" w:eastAsia="zh-TW"/>
              </w:rPr>
              <w:t>-101</w:t>
            </w:r>
            <w:r>
              <w:rPr>
                <w:rStyle w:val="140"/>
                <w:rFonts w:ascii="Times New Roman" w:eastAsia="仿宋" w:cs="Times New Roman"/>
                <w:spacing w:val="0"/>
                <w:lang w:val="zh-TW"/>
              </w:rPr>
              <w:t>℃，</w:t>
            </w:r>
            <w:r>
              <w:rPr>
                <w:rStyle w:val="140"/>
                <w:rFonts w:ascii="Times New Roman" w:eastAsia="仿宋" w:cs="Times New Roman"/>
                <w:spacing w:val="0"/>
                <w:lang w:val="zh-TW" w:eastAsia="zh-TW"/>
              </w:rPr>
              <w:t>沸点：</w:t>
            </w:r>
            <w:r>
              <w:rPr>
                <w:rStyle w:val="139"/>
                <w:rFonts w:ascii="Times New Roman" w:eastAsia="仿宋" w:cs="Times New Roman"/>
                <w:sz w:val="21"/>
                <w:szCs w:val="21"/>
                <w:lang w:val="zh-TW" w:eastAsia="zh-TW"/>
              </w:rPr>
              <w:t>-34.5</w:t>
            </w:r>
            <w:r>
              <w:rPr>
                <w:rStyle w:val="140"/>
                <w:rFonts w:ascii="Times New Roman" w:eastAsia="仿宋" w:cs="Times New Roman"/>
                <w:spacing w:val="0"/>
                <w:lang w:val="zh-TW"/>
              </w:rPr>
              <w:t>℃</w:t>
            </w:r>
          </w:p>
        </w:tc>
        <w:tc>
          <w:tcPr>
            <w:tcW w:w="1430" w:type="dxa"/>
            <w:shd w:val="clear" w:color="auto" w:fill="FFFFFF"/>
            <w:noWrap/>
            <w:vAlign w:val="center"/>
          </w:tcPr>
          <w:p>
            <w:pPr>
              <w:pStyle w:val="18"/>
              <w:jc w:val="center"/>
              <w:rPr>
                <w:rFonts w:eastAsia="仿宋"/>
                <w:b/>
                <w:bCs/>
                <w:sz w:val="21"/>
                <w:szCs w:val="21"/>
              </w:rPr>
            </w:pPr>
            <w:r>
              <w:rPr>
                <w:rStyle w:val="140"/>
                <w:rFonts w:ascii="Times New Roman" w:eastAsia="仿宋" w:cs="Times New Roman"/>
                <w:b/>
                <w:bCs/>
                <w:spacing w:val="0"/>
                <w:lang w:val="zh-TW" w:eastAsia="zh-TW"/>
              </w:rPr>
              <w:t>稳定性</w:t>
            </w:r>
          </w:p>
        </w:tc>
        <w:tc>
          <w:tcPr>
            <w:tcW w:w="2770" w:type="dxa"/>
            <w:shd w:val="clear" w:color="auto" w:fill="FFFFFF"/>
            <w:noWrap/>
            <w:vAlign w:val="center"/>
          </w:tcPr>
          <w:p>
            <w:pPr>
              <w:pStyle w:val="18"/>
              <w:jc w:val="center"/>
              <w:rPr>
                <w:rFonts w:eastAsia="仿宋"/>
                <w:sz w:val="21"/>
                <w:szCs w:val="21"/>
              </w:rPr>
            </w:pPr>
            <w:r>
              <w:rPr>
                <w:rStyle w:val="140"/>
                <w:rFonts w:ascii="Times New Roman" w:eastAsia="仿宋" w:cs="Times New Roman"/>
                <w:spacing w:val="0"/>
                <w:lang w:val="zh-TW" w:eastAsia="zh-TW"/>
              </w:rPr>
              <w:t>稳定</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40"/>
                <w:rFonts w:ascii="Times New Roman" w:eastAsia="仿宋" w:cs="Times New Roman"/>
                <w:b/>
                <w:bCs/>
                <w:spacing w:val="0"/>
                <w:lang w:val="zh-TW" w:eastAsia="zh-TW"/>
              </w:rPr>
              <w:t>密度</w:t>
            </w:r>
          </w:p>
        </w:tc>
        <w:tc>
          <w:tcPr>
            <w:tcW w:w="3574"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相对密度</w:t>
            </w:r>
            <w:r>
              <w:rPr>
                <w:rStyle w:val="139"/>
                <w:rFonts w:ascii="Times New Roman" w:eastAsia="仿宋" w:cs="Times New Roman"/>
                <w:sz w:val="21"/>
                <w:szCs w:val="21"/>
                <w:lang w:val="zh-TW" w:eastAsia="zh-TW"/>
              </w:rPr>
              <w:t>(</w:t>
            </w:r>
            <w:r>
              <w:rPr>
                <w:rStyle w:val="138"/>
                <w:rFonts w:ascii="Times New Roman" w:eastAsia="仿宋" w:cs="Times New Roman"/>
                <w:spacing w:val="0"/>
                <w:lang w:val="zh-TW" w:eastAsia="zh-TW"/>
              </w:rPr>
              <w:t>水</w:t>
            </w:r>
            <w:r>
              <w:rPr>
                <w:rStyle w:val="139"/>
                <w:rFonts w:ascii="Times New Roman" w:eastAsia="仿宋" w:cs="Times New Roman"/>
                <w:sz w:val="21"/>
                <w:szCs w:val="21"/>
                <w:lang w:eastAsia="zh-CN"/>
              </w:rPr>
              <w:t>=1)1.47；</w:t>
            </w:r>
            <w:r>
              <w:rPr>
                <w:rStyle w:val="138"/>
                <w:rFonts w:ascii="Times New Roman" w:eastAsia="仿宋" w:cs="Times New Roman"/>
                <w:spacing w:val="0"/>
                <w:lang w:val="zh-TW" w:eastAsia="zh-TW"/>
              </w:rPr>
              <w:t xml:space="preserve">相对密度(空气 </w:t>
            </w:r>
            <w:r>
              <w:rPr>
                <w:rStyle w:val="139"/>
                <w:rFonts w:ascii="Times New Roman" w:eastAsia="仿宋" w:cs="Times New Roman"/>
                <w:sz w:val="21"/>
                <w:szCs w:val="21"/>
                <w:lang w:eastAsia="zh-CN"/>
              </w:rPr>
              <w:t>=1)2.48</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溶解性</w:t>
            </w:r>
          </w:p>
        </w:tc>
        <w:tc>
          <w:tcPr>
            <w:tcW w:w="2770"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易溶于水、碱液</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危险标记</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val="zh-TW" w:eastAsia="zh-TW"/>
              </w:rPr>
              <w:t>6(</w:t>
            </w:r>
            <w:r>
              <w:rPr>
                <w:rStyle w:val="138"/>
                <w:rFonts w:ascii="Times New Roman" w:eastAsia="仿宋" w:cs="Times New Roman"/>
                <w:spacing w:val="0"/>
                <w:lang w:val="zh-TW" w:eastAsia="zh-TW"/>
              </w:rPr>
              <w:t>有毒气体</w:t>
            </w:r>
            <w:r>
              <w:rPr>
                <w:rStyle w:val="139"/>
                <w:rFonts w:ascii="Times New Roman" w:eastAsia="仿宋" w:cs="Times New Roman"/>
                <w:sz w:val="21"/>
                <w:szCs w:val="21"/>
              </w:rPr>
              <w:t>)</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主要用途</w:t>
            </w:r>
          </w:p>
        </w:tc>
        <w:tc>
          <w:tcPr>
            <w:tcW w:w="2770"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用于漂白，制造氯化合物、盐酸、聚氯乙烯等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侵入途径</w:t>
            </w:r>
          </w:p>
        </w:tc>
        <w:tc>
          <w:tcPr>
            <w:tcW w:w="7774" w:type="dxa"/>
            <w:gridSpan w:val="3"/>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吸入</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健康危害</w:t>
            </w:r>
          </w:p>
        </w:tc>
        <w:tc>
          <w:tcPr>
            <w:tcW w:w="7774"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健康危害：对眼、呼吸道粘膜有刺激作用。</w:t>
            </w:r>
          </w:p>
          <w:p>
            <w:pPr>
              <w:pStyle w:val="18"/>
              <w:jc w:val="left"/>
              <w:rPr>
                <w:rFonts w:eastAsia="仿宋"/>
                <w:sz w:val="21"/>
                <w:szCs w:val="21"/>
              </w:rPr>
            </w:pPr>
            <w:r>
              <w:rPr>
                <w:rStyle w:val="138"/>
                <w:rFonts w:ascii="Times New Roman" w:eastAsia="仿宋" w:cs="Times New Roman"/>
                <w:spacing w:val="0"/>
                <w:lang w:val="zh-TW" w:eastAsia="zh-TW"/>
              </w:rPr>
              <w:t>急性中毒：轻度者有流泪、咳嗽、咳少量痰、胸闷，出现气管炎的表现；中度中毒发生支气管肺炎或间质性肺水肿，病人除有上述症状的加重外，出现呼吸困难、轻度紫绀等；重者发生肺水肿、昏迷和休克，可出现气胸、纵隔气肿等并发症。吸入极高浓度的氯气，可引起迷走神经反射性心跳骤停或喉头痉挛而发生</w:t>
            </w:r>
            <w:r>
              <w:rPr>
                <w:rStyle w:val="139"/>
                <w:rFonts w:ascii="Times New Roman" w:eastAsia="仿宋" w:cs="Times New Roman"/>
                <w:sz w:val="21"/>
                <w:szCs w:val="21"/>
                <w:lang w:val="zh-TW" w:eastAsia="zh-TW"/>
              </w:rPr>
              <w:t>“</w:t>
            </w:r>
            <w:r>
              <w:rPr>
                <w:rStyle w:val="138"/>
                <w:rFonts w:ascii="Times New Roman" w:eastAsia="仿宋" w:cs="Times New Roman"/>
                <w:spacing w:val="0"/>
                <w:lang w:val="zh-TW" w:eastAsia="zh-TW"/>
              </w:rPr>
              <w:t>电击样</w:t>
            </w:r>
            <w:r>
              <w:rPr>
                <w:rStyle w:val="139"/>
                <w:rFonts w:ascii="Times New Roman" w:eastAsia="仿宋" w:cs="Times New Roman"/>
                <w:sz w:val="21"/>
                <w:szCs w:val="21"/>
                <w:lang w:val="zh-TW" w:eastAsia="zh-TW"/>
              </w:rPr>
              <w:t>”</w:t>
            </w:r>
            <w:r>
              <w:rPr>
                <w:rStyle w:val="138"/>
                <w:rFonts w:ascii="Times New Roman" w:eastAsia="仿宋" w:cs="Times New Roman"/>
                <w:spacing w:val="0"/>
                <w:lang w:val="zh-TW" w:eastAsia="zh-TW"/>
              </w:rPr>
              <w:t>死亡。皮肤接触液氯或高浓度氯，在暴露部位可有灼伤或急性皮炎。慢性影响：长期低浓 度接触，可引起慢性支气管炎、支气管哮喘等；可引起职业性痤疮及牙齿酸蚀症。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毒性</w:t>
            </w:r>
          </w:p>
        </w:tc>
        <w:tc>
          <w:tcPr>
            <w:tcW w:w="7774"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毒性：属高毒类。是一种强烈的刺激性气体。</w:t>
            </w:r>
          </w:p>
          <w:p>
            <w:pPr>
              <w:pStyle w:val="18"/>
              <w:jc w:val="left"/>
              <w:rPr>
                <w:rFonts w:eastAsia="仿宋"/>
                <w:sz w:val="21"/>
                <w:szCs w:val="21"/>
              </w:rPr>
            </w:pPr>
            <w:r>
              <w:rPr>
                <w:rStyle w:val="138"/>
                <w:rFonts w:ascii="Times New Roman" w:eastAsia="仿宋" w:cs="Times New Roman"/>
                <w:spacing w:val="0"/>
                <w:lang w:val="zh-TW" w:eastAsia="zh-TW"/>
              </w:rPr>
              <w:t>急性毒性：</w:t>
            </w:r>
            <w:r>
              <w:rPr>
                <w:rStyle w:val="139"/>
                <w:rFonts w:ascii="Times New Roman" w:eastAsia="仿宋" w:cs="Times New Roman"/>
                <w:sz w:val="21"/>
                <w:szCs w:val="21"/>
                <w:lang w:eastAsia="zh-CN"/>
              </w:rPr>
              <w:t>LC</w:t>
            </w:r>
            <w:r>
              <w:rPr>
                <w:rStyle w:val="139"/>
                <w:rFonts w:ascii="Times New Roman" w:eastAsia="仿宋" w:cs="Times New Roman"/>
                <w:sz w:val="21"/>
                <w:szCs w:val="21"/>
                <w:vertAlign w:val="subscript"/>
                <w:lang w:eastAsia="zh-CN"/>
              </w:rPr>
              <w:t>50</w:t>
            </w:r>
            <w:r>
              <w:rPr>
                <w:rStyle w:val="139"/>
                <w:rFonts w:ascii="Times New Roman" w:eastAsia="仿宋" w:cs="Times New Roman"/>
                <w:sz w:val="21"/>
                <w:szCs w:val="21"/>
                <w:lang w:eastAsia="zh-CN"/>
              </w:rPr>
              <w:t>850mg/m</w:t>
            </w:r>
            <w:r>
              <w:rPr>
                <w:rStyle w:val="139"/>
                <w:rFonts w:ascii="Times New Roman" w:eastAsia="仿宋" w:cs="Times New Roman"/>
                <w:sz w:val="21"/>
                <w:szCs w:val="21"/>
                <w:vertAlign w:val="superscript"/>
                <w:lang w:eastAsia="zh-CN"/>
              </w:rPr>
              <w:t>3</w:t>
            </w:r>
            <w:r>
              <w:rPr>
                <w:rStyle w:val="138"/>
                <w:rFonts w:ascii="Times New Roman" w:eastAsia="仿宋" w:cs="Times New Roman"/>
                <w:spacing w:val="0"/>
              </w:rPr>
              <w:t>，</w:t>
            </w:r>
            <w:r>
              <w:rPr>
                <w:rStyle w:val="139"/>
                <w:rFonts w:ascii="Times New Roman" w:eastAsia="仿宋" w:cs="Times New Roman"/>
                <w:sz w:val="21"/>
                <w:szCs w:val="21"/>
                <w:lang w:val="zh-TW" w:eastAsia="zh-TW"/>
              </w:rPr>
              <w:t>1</w:t>
            </w:r>
            <w:r>
              <w:rPr>
                <w:rStyle w:val="138"/>
                <w:rFonts w:ascii="Times New Roman" w:eastAsia="仿宋" w:cs="Times New Roman"/>
                <w:spacing w:val="0"/>
                <w:lang w:val="zh-TW" w:eastAsia="zh-TW"/>
              </w:rPr>
              <w:t>小时</w:t>
            </w:r>
            <w:r>
              <w:rPr>
                <w:rStyle w:val="139"/>
                <w:rFonts w:ascii="Times New Roman" w:eastAsia="仿宋" w:cs="Times New Roman"/>
                <w:sz w:val="21"/>
                <w:szCs w:val="21"/>
                <w:lang w:val="zh-TW" w:eastAsia="zh-TW"/>
              </w:rPr>
              <w:t>(</w:t>
            </w:r>
            <w:r>
              <w:rPr>
                <w:rStyle w:val="138"/>
                <w:rFonts w:ascii="Times New Roman" w:eastAsia="仿宋" w:cs="Times New Roman"/>
                <w:spacing w:val="0"/>
                <w:lang w:val="zh-TW" w:eastAsia="zh-TW"/>
              </w:rPr>
              <w:t>大鼠吸入）</w:t>
            </w:r>
          </w:p>
          <w:p>
            <w:pPr>
              <w:pStyle w:val="18"/>
              <w:jc w:val="left"/>
              <w:rPr>
                <w:rFonts w:eastAsia="仿宋"/>
                <w:sz w:val="21"/>
                <w:szCs w:val="21"/>
              </w:rPr>
            </w:pPr>
            <w:r>
              <w:rPr>
                <w:rStyle w:val="138"/>
                <w:rFonts w:ascii="Times New Roman" w:eastAsia="仿宋" w:cs="Times New Roman"/>
                <w:spacing w:val="0"/>
                <w:lang w:val="zh-TW" w:eastAsia="zh-TW"/>
              </w:rPr>
              <w:t>亚急性和慢性毒性：家兔吸入</w:t>
            </w:r>
            <w:r>
              <w:rPr>
                <w:rStyle w:val="139"/>
                <w:rFonts w:ascii="Times New Roman" w:eastAsia="仿宋" w:cs="Times New Roman"/>
                <w:sz w:val="21"/>
                <w:szCs w:val="21"/>
                <w:lang w:val="zh-TW" w:eastAsia="zh-TW"/>
              </w:rPr>
              <w:t>2</w:t>
            </w:r>
            <w:r>
              <w:rPr>
                <w:rStyle w:val="138"/>
                <w:rFonts w:ascii="Times New Roman" w:eastAsia="仿宋" w:cs="Times New Roman"/>
                <w:spacing w:val="0"/>
                <w:lang w:val="zh-TW" w:eastAsia="zh-TW"/>
              </w:rPr>
              <w:t>〜</w:t>
            </w:r>
            <w:r>
              <w:rPr>
                <w:rStyle w:val="139"/>
                <w:rFonts w:ascii="Times New Roman" w:eastAsia="仿宋" w:cs="Times New Roman"/>
                <w:sz w:val="21"/>
                <w:szCs w:val="21"/>
                <w:lang w:eastAsia="zh-CN"/>
              </w:rPr>
              <w:t>5mg/m</w:t>
            </w:r>
            <w:r>
              <w:rPr>
                <w:rStyle w:val="139"/>
                <w:rFonts w:ascii="Times New Roman" w:eastAsia="仿宋" w:cs="Times New Roman"/>
                <w:sz w:val="21"/>
                <w:szCs w:val="21"/>
                <w:vertAlign w:val="superscript"/>
                <w:lang w:eastAsia="zh-CN"/>
              </w:rPr>
              <w:t>3</w:t>
            </w:r>
            <w:r>
              <w:rPr>
                <w:rStyle w:val="138"/>
                <w:rFonts w:ascii="Times New Roman" w:eastAsia="仿宋" w:cs="Times New Roman"/>
                <w:spacing w:val="0"/>
              </w:rPr>
              <w:t>，</w:t>
            </w:r>
            <w:r>
              <w:rPr>
                <w:rStyle w:val="139"/>
                <w:rFonts w:ascii="Times New Roman" w:eastAsia="仿宋" w:cs="Times New Roman"/>
                <w:sz w:val="21"/>
                <w:szCs w:val="21"/>
                <w:lang w:val="zh-TW" w:eastAsia="zh-TW"/>
              </w:rPr>
              <w:t>5</w:t>
            </w:r>
            <w:r>
              <w:rPr>
                <w:rStyle w:val="138"/>
                <w:rFonts w:ascii="Times New Roman" w:eastAsia="仿宋" w:cs="Times New Roman"/>
                <w:spacing w:val="0"/>
                <w:lang w:val="zh-TW" w:eastAsia="zh-TW"/>
              </w:rPr>
              <w:t>小时</w:t>
            </w:r>
            <w:r>
              <w:rPr>
                <w:rStyle w:val="139"/>
                <w:rFonts w:ascii="Times New Roman" w:eastAsia="仿宋" w:cs="Times New Roman"/>
                <w:sz w:val="21"/>
                <w:szCs w:val="21"/>
                <w:lang w:val="zh-TW" w:eastAsia="zh-TW"/>
              </w:rPr>
              <w:t>/</w:t>
            </w:r>
            <w:r>
              <w:rPr>
                <w:rStyle w:val="138"/>
                <w:rFonts w:ascii="Times New Roman" w:eastAsia="仿宋" w:cs="Times New Roman"/>
                <w:spacing w:val="0"/>
                <w:lang w:val="zh-TW" w:eastAsia="zh-TW"/>
              </w:rPr>
              <w:t>天，</w:t>
            </w:r>
            <w:r>
              <w:rPr>
                <w:rStyle w:val="139"/>
                <w:rFonts w:ascii="Times New Roman" w:eastAsia="仿宋" w:cs="Times New Roman"/>
                <w:sz w:val="21"/>
                <w:szCs w:val="21"/>
                <w:lang w:val="zh-TW" w:eastAsia="zh-TW"/>
              </w:rPr>
              <w:t>1</w:t>
            </w:r>
            <w:r>
              <w:rPr>
                <w:rStyle w:val="138"/>
                <w:rFonts w:ascii="Times New Roman" w:eastAsia="仿宋" w:cs="Times New Roman"/>
                <w:spacing w:val="0"/>
                <w:lang w:val="zh-TW" w:eastAsia="zh-TW"/>
              </w:rPr>
              <w:t>〜</w:t>
            </w:r>
            <w:r>
              <w:rPr>
                <w:rStyle w:val="139"/>
                <w:rFonts w:ascii="Times New Roman" w:eastAsia="仿宋" w:cs="Times New Roman"/>
                <w:sz w:val="21"/>
                <w:szCs w:val="21"/>
                <w:lang w:val="zh-TW" w:eastAsia="zh-TW"/>
              </w:rPr>
              <w:t>9</w:t>
            </w:r>
            <w:r>
              <w:rPr>
                <w:rStyle w:val="138"/>
                <w:rFonts w:ascii="Times New Roman" w:eastAsia="仿宋" w:cs="Times New Roman"/>
                <w:spacing w:val="0"/>
                <w:lang w:val="zh-TW" w:eastAsia="zh-TW"/>
              </w:rPr>
              <w:t>个月，出现消瘦、上呼吸道炎、肺炎、胸膜炎及肺气肿等。大鼠吸入</w:t>
            </w:r>
            <w:r>
              <w:rPr>
                <w:rStyle w:val="139"/>
                <w:rFonts w:ascii="Times New Roman" w:eastAsia="仿宋" w:cs="Times New Roman"/>
                <w:sz w:val="21"/>
                <w:szCs w:val="21"/>
                <w:lang w:val="zh-TW" w:eastAsia="zh-TW"/>
              </w:rPr>
              <w:t>41</w:t>
            </w:r>
            <w:r>
              <w:rPr>
                <w:rStyle w:val="138"/>
                <w:rFonts w:ascii="Times New Roman" w:eastAsia="仿宋" w:cs="Times New Roman"/>
                <w:spacing w:val="0"/>
                <w:lang w:val="zh-TW" w:eastAsia="zh-TW"/>
              </w:rPr>
              <w:t>〜</w:t>
            </w:r>
            <w:r>
              <w:rPr>
                <w:rStyle w:val="139"/>
                <w:rFonts w:ascii="Times New Roman" w:eastAsia="仿宋" w:cs="Times New Roman"/>
                <w:sz w:val="21"/>
                <w:szCs w:val="21"/>
                <w:lang w:eastAsia="zh-CN"/>
              </w:rPr>
              <w:t>97mg/m</w:t>
            </w:r>
            <w:r>
              <w:rPr>
                <w:rStyle w:val="139"/>
                <w:rFonts w:ascii="Times New Roman" w:eastAsia="仿宋" w:cs="Times New Roman"/>
                <w:sz w:val="21"/>
                <w:szCs w:val="21"/>
                <w:vertAlign w:val="superscript"/>
                <w:lang w:eastAsia="zh-CN"/>
              </w:rPr>
              <w:t>3</w:t>
            </w:r>
            <w:r>
              <w:rPr>
                <w:rStyle w:val="138"/>
                <w:rFonts w:ascii="Times New Roman" w:eastAsia="仿宋" w:cs="Times New Roman"/>
                <w:spacing w:val="0"/>
              </w:rPr>
              <w:t>，</w:t>
            </w:r>
            <w:r>
              <w:rPr>
                <w:rStyle w:val="139"/>
                <w:rFonts w:ascii="Times New Roman" w:eastAsia="仿宋" w:cs="Times New Roman"/>
                <w:sz w:val="21"/>
                <w:szCs w:val="21"/>
                <w:lang w:val="zh-TW" w:eastAsia="zh-TW"/>
              </w:rPr>
              <w:t>2</w:t>
            </w:r>
            <w:r>
              <w:rPr>
                <w:rStyle w:val="138"/>
                <w:rFonts w:ascii="Times New Roman" w:eastAsia="仿宋" w:cs="Times New Roman"/>
                <w:spacing w:val="0"/>
                <w:lang w:val="zh-TW" w:eastAsia="zh-TW"/>
              </w:rPr>
              <w:t>小时</w:t>
            </w:r>
            <w:r>
              <w:rPr>
                <w:rStyle w:val="139"/>
                <w:rFonts w:ascii="Times New Roman" w:eastAsia="仿宋" w:cs="Times New Roman"/>
                <w:sz w:val="21"/>
                <w:szCs w:val="21"/>
                <w:lang w:val="zh-TW" w:eastAsia="zh-TW"/>
              </w:rPr>
              <w:t>/</w:t>
            </w:r>
            <w:r>
              <w:rPr>
                <w:rStyle w:val="138"/>
                <w:rFonts w:ascii="Times New Roman" w:eastAsia="仿宋" w:cs="Times New Roman"/>
                <w:spacing w:val="0"/>
                <w:lang w:val="zh-TW" w:eastAsia="zh-TW"/>
              </w:rPr>
              <w:t>天，</w:t>
            </w:r>
            <w:r>
              <w:rPr>
                <w:rStyle w:val="139"/>
                <w:rFonts w:ascii="Times New Roman" w:eastAsia="仿宋" w:cs="Times New Roman"/>
                <w:sz w:val="21"/>
                <w:szCs w:val="21"/>
                <w:lang w:val="zh-TW" w:eastAsia="zh-TW"/>
              </w:rPr>
              <w:t>3</w:t>
            </w:r>
            <w:r>
              <w:rPr>
                <w:rStyle w:val="138"/>
                <w:rFonts w:ascii="Times New Roman" w:eastAsia="仿宋" w:cs="Times New Roman"/>
                <w:spacing w:val="0"/>
                <w:lang w:val="zh-TW" w:eastAsia="zh-TW"/>
              </w:rPr>
              <w:t>〜</w:t>
            </w:r>
            <w:r>
              <w:rPr>
                <w:rStyle w:val="139"/>
                <w:rFonts w:ascii="Times New Roman" w:eastAsia="仿宋" w:cs="Times New Roman"/>
                <w:sz w:val="21"/>
                <w:szCs w:val="21"/>
                <w:lang w:val="zh-TW" w:eastAsia="zh-TW"/>
              </w:rPr>
              <w:t>4</w:t>
            </w:r>
            <w:r>
              <w:rPr>
                <w:rStyle w:val="138"/>
                <w:rFonts w:ascii="Times New Roman" w:eastAsia="仿宋" w:cs="Times New Roman"/>
                <w:spacing w:val="0"/>
                <w:lang w:val="zh-TW" w:eastAsia="zh-TW"/>
              </w:rPr>
              <w:t>周，引起严重但非致死性的肺气肿与气管病变。致突变性：细胞遗传学分析：人淋巴细胞</w:t>
            </w:r>
            <w:r>
              <w:rPr>
                <w:rStyle w:val="139"/>
                <w:rFonts w:ascii="Times New Roman" w:eastAsia="仿宋" w:cs="Times New Roman"/>
                <w:sz w:val="21"/>
                <w:szCs w:val="21"/>
                <w:lang w:eastAsia="zh-CN"/>
              </w:rPr>
              <w:t>20ppm</w:t>
            </w:r>
            <w:r>
              <w:rPr>
                <w:rStyle w:val="138"/>
                <w:rFonts w:ascii="Times New Roman" w:eastAsia="仿宋" w:cs="Times New Roman"/>
                <w:spacing w:val="0"/>
              </w:rPr>
              <w:t>。</w:t>
            </w:r>
            <w:r>
              <w:rPr>
                <w:rStyle w:val="138"/>
                <w:rFonts w:ascii="Times New Roman" w:eastAsia="仿宋" w:cs="Times New Roman"/>
                <w:spacing w:val="0"/>
                <w:lang w:val="zh-TW" w:eastAsia="zh-TW"/>
              </w:rPr>
              <w:t>精子形态学分析：小鼠经口</w:t>
            </w:r>
            <w:r>
              <w:rPr>
                <w:rStyle w:val="139"/>
                <w:rFonts w:ascii="Times New Roman" w:eastAsia="仿宋" w:cs="Times New Roman"/>
                <w:sz w:val="21"/>
                <w:szCs w:val="21"/>
                <w:lang w:eastAsia="zh-CN"/>
              </w:rPr>
              <w:t>20mg/kg(5</w:t>
            </w:r>
            <w:r>
              <w:rPr>
                <w:rStyle w:val="138"/>
                <w:rFonts w:ascii="Times New Roman" w:eastAsia="仿宋" w:cs="Times New Roman"/>
                <w:spacing w:val="0"/>
                <w:lang w:val="zh-TW" w:eastAsia="zh-TW"/>
              </w:rPr>
              <w:t>天</w:t>
            </w:r>
            <w:r>
              <w:rPr>
                <w:rStyle w:val="139"/>
                <w:rFonts w:ascii="Times New Roman" w:eastAsia="仿宋" w:cs="Times New Roman"/>
                <w:sz w:val="21"/>
                <w:szCs w:val="21"/>
                <w:lang w:val="zh-TW" w:eastAsia="zh-TW"/>
              </w:rPr>
              <w:t>)</w:t>
            </w:r>
            <w:r>
              <w:rPr>
                <w:rStyle w:val="138"/>
                <w:rFonts w:ascii="Times New Roman" w:eastAsia="仿宋" w:cs="Times New Roman"/>
                <w:spacing w:val="0"/>
                <w:lang w:val="zh-TW" w:eastAsia="zh-TW"/>
              </w:rPr>
              <w:t>，连续。</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危险特性</w:t>
            </w:r>
          </w:p>
        </w:tc>
        <w:tc>
          <w:tcPr>
            <w:tcW w:w="7774"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本品不会燃烧，但可助燃。一般可燃物大都能在氯气中燃烧，一般易燃气体或蒸气也都能与氯气形成爆炸性混合物。氯气能与许多化学品如乙炔、松节油、乙醚、氨、燃料气、烃类、氢气、金属粉末等猛烈反应发生爆炸或生成爆炸性物质。它几乎对金属和非金属都有腐蚀作用。燃烧</w:t>
            </w:r>
            <w:r>
              <w:rPr>
                <w:rStyle w:val="139"/>
                <w:rFonts w:ascii="Times New Roman" w:eastAsia="仿宋" w:cs="Times New Roman"/>
                <w:sz w:val="21"/>
                <w:szCs w:val="21"/>
                <w:lang w:val="zh-TW" w:eastAsia="zh-TW"/>
              </w:rPr>
              <w:t>(</w:t>
            </w:r>
            <w:r>
              <w:rPr>
                <w:rStyle w:val="138"/>
                <w:rFonts w:ascii="Times New Roman" w:eastAsia="仿宋" w:cs="Times New Roman"/>
                <w:spacing w:val="0"/>
                <w:lang w:val="zh-TW" w:eastAsia="zh-TW"/>
              </w:rPr>
              <w:t>分解</w:t>
            </w:r>
            <w:r>
              <w:rPr>
                <w:rStyle w:val="139"/>
                <w:rFonts w:ascii="Times New Roman" w:eastAsia="仿宋" w:cs="Times New Roman"/>
                <w:sz w:val="21"/>
                <w:szCs w:val="21"/>
                <w:lang w:eastAsia="zh-CN"/>
              </w:rPr>
              <w:t>)</w:t>
            </w:r>
            <w:r>
              <w:rPr>
                <w:rStyle w:val="138"/>
                <w:rFonts w:ascii="Times New Roman" w:eastAsia="仿宋" w:cs="Times New Roman"/>
                <w:spacing w:val="0"/>
                <w:lang w:val="zh-TW" w:eastAsia="zh-TW"/>
              </w:rPr>
              <w:t>产物：氯化氢。</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泄漏应急 处理</w:t>
            </w:r>
          </w:p>
        </w:tc>
        <w:tc>
          <w:tcPr>
            <w:tcW w:w="7774"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迅速撤离泄漏污染区人员至上风处，并立即进行隔离，小泄漏时隔离</w:t>
            </w:r>
            <w:r>
              <w:rPr>
                <w:rStyle w:val="139"/>
                <w:rFonts w:ascii="Times New Roman" w:eastAsia="仿宋" w:cs="Times New Roman"/>
                <w:sz w:val="21"/>
                <w:szCs w:val="21"/>
                <w:lang w:val="zh-TW" w:eastAsia="zh-TW"/>
              </w:rPr>
              <w:t>150</w:t>
            </w:r>
            <w:r>
              <w:rPr>
                <w:rStyle w:val="138"/>
                <w:rFonts w:ascii="Times New Roman" w:eastAsia="仿宋" w:cs="Times New Roman"/>
                <w:spacing w:val="0"/>
                <w:lang w:val="zh-TW" w:eastAsia="zh-TW"/>
              </w:rPr>
              <w:t>米，大泄漏时隔离</w:t>
            </w:r>
            <w:r>
              <w:rPr>
                <w:rStyle w:val="139"/>
                <w:rFonts w:ascii="Times New Roman" w:eastAsia="仿宋" w:cs="Times New Roman"/>
                <w:sz w:val="21"/>
                <w:szCs w:val="21"/>
                <w:lang w:val="zh-TW" w:eastAsia="zh-TW"/>
              </w:rPr>
              <w:t>450</w:t>
            </w:r>
            <w:r>
              <w:rPr>
                <w:rStyle w:val="138"/>
                <w:rFonts w:ascii="Times New Roman" w:eastAsia="仿宋" w:cs="Times New Roman"/>
                <w:spacing w:val="0"/>
                <w:lang w:val="zh-TW" w:eastAsia="zh-TW"/>
              </w:rPr>
              <w:t>米，严格限制出入。建议应急处理人员戴自给正压式呼吸器，穿防毒</w:t>
            </w:r>
            <w:r>
              <w:rPr>
                <w:rStyle w:val="138"/>
                <w:rFonts w:ascii="Times New Roman" w:eastAsia="仿宋" w:cs="Times New Roman"/>
                <w:spacing w:val="0"/>
                <w:lang w:val="zh-TW"/>
              </w:rPr>
              <w:t>服</w:t>
            </w:r>
            <w:r>
              <w:rPr>
                <w:rStyle w:val="138"/>
                <w:rFonts w:ascii="Times New Roman" w:eastAsia="仿宋" w:cs="Times New Roman"/>
                <w:spacing w:val="0"/>
                <w:lang w:val="zh-TW" w:eastAsia="zh-TW"/>
              </w:rPr>
              <w:t>。尽可能切断泄漏源。合理通风，加速扩散。喷雾状水稀释、溶解。构筑围堤或挖坑收容产生的大量废水。如有可能，用管道将泄漏物导至还原剂(酸式硫酸钠或酸式碳酸钠</w:t>
            </w:r>
            <w:r>
              <w:rPr>
                <w:rStyle w:val="139"/>
                <w:rFonts w:ascii="Times New Roman" w:eastAsia="仿宋" w:cs="Times New Roman"/>
                <w:sz w:val="21"/>
                <w:szCs w:val="21"/>
                <w:lang w:val="zh-TW" w:eastAsia="zh-TW"/>
              </w:rPr>
              <w:t>)</w:t>
            </w:r>
            <w:r>
              <w:rPr>
                <w:rStyle w:val="138"/>
                <w:rFonts w:ascii="Times New Roman" w:eastAsia="仿宋" w:cs="Times New Roman"/>
                <w:spacing w:val="0"/>
                <w:lang w:val="zh-TW" w:eastAsia="zh-TW"/>
              </w:rPr>
              <w:t>溶液。漏气容器要妥善处理，修复、检验后再用。</w:t>
            </w:r>
          </w:p>
          <w:p>
            <w:pPr>
              <w:pStyle w:val="18"/>
              <w:jc w:val="left"/>
              <w:rPr>
                <w:rFonts w:eastAsia="仿宋"/>
                <w:sz w:val="21"/>
                <w:szCs w:val="21"/>
              </w:rPr>
            </w:pPr>
            <w:r>
              <w:rPr>
                <w:rStyle w:val="138"/>
                <w:rFonts w:ascii="Times New Roman" w:eastAsia="仿宋" w:cs="Times New Roman"/>
                <w:spacing w:val="0"/>
                <w:lang w:val="zh-TW" w:eastAsia="zh-TW"/>
              </w:rPr>
              <w:t>废弃物处置方法：建议把废气通入过量的还原性溶液中</w:t>
            </w:r>
            <w:r>
              <w:rPr>
                <w:rStyle w:val="139"/>
                <w:rFonts w:ascii="Times New Roman" w:eastAsia="仿宋" w:cs="Times New Roman"/>
                <w:sz w:val="21"/>
                <w:szCs w:val="21"/>
                <w:lang w:eastAsia="zh-CN"/>
              </w:rPr>
              <w:t>(</w:t>
            </w:r>
            <w:r>
              <w:rPr>
                <w:rStyle w:val="138"/>
                <w:rFonts w:ascii="Times New Roman" w:eastAsia="仿宋" w:cs="Times New Roman"/>
                <w:spacing w:val="0"/>
                <w:lang w:val="zh-TW" w:eastAsia="zh-TW"/>
              </w:rPr>
              <w:t>亚硫酸氢盐、亚铁盐、硫代亚硫酸钠溶液</w:t>
            </w:r>
            <w:r>
              <w:rPr>
                <w:rStyle w:val="139"/>
                <w:rFonts w:ascii="Times New Roman" w:eastAsia="仿宋" w:cs="Times New Roman"/>
                <w:sz w:val="21"/>
                <w:szCs w:val="21"/>
                <w:lang w:val="zh-TW" w:eastAsia="zh-TW"/>
              </w:rPr>
              <w:t>)</w:t>
            </w:r>
            <w:r>
              <w:rPr>
                <w:rStyle w:val="138"/>
                <w:rFonts w:ascii="Times New Roman" w:eastAsia="仿宋" w:cs="Times New Roman"/>
                <w:spacing w:val="0"/>
                <w:lang w:val="zh-TW" w:eastAsia="zh-TW"/>
              </w:rPr>
              <w:t>，中和后用水冲支下水道。废水中的氯气和氯化铝电解中氯气回收。</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防护措施</w:t>
            </w:r>
          </w:p>
        </w:tc>
        <w:tc>
          <w:tcPr>
            <w:tcW w:w="7774"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呼吸系统防护：空气中浓度超标时，建议佩戴空气呼吸器或氧气呼吸器。紧急事态抢救或撤离时，必须佩戴氧气呼吸器。</w:t>
            </w:r>
          </w:p>
          <w:p>
            <w:pPr>
              <w:pStyle w:val="18"/>
              <w:jc w:val="left"/>
              <w:rPr>
                <w:rFonts w:eastAsia="仿宋"/>
                <w:sz w:val="21"/>
                <w:szCs w:val="21"/>
              </w:rPr>
            </w:pPr>
            <w:r>
              <w:rPr>
                <w:rStyle w:val="138"/>
                <w:rFonts w:ascii="Times New Roman" w:eastAsia="仿宋" w:cs="Times New Roman"/>
                <w:spacing w:val="0"/>
                <w:lang w:val="zh-TW" w:eastAsia="zh-TW"/>
              </w:rPr>
              <w:t>眼睛防护：呼吸系统防护中已作防护。身体防护：穿带面罩式胶布防毒衣。手防护：戴橡胶手套。其它：工作现场禁止吸烟、进食和饮水。工作毕，淋浴更衣。保持良好的卫生习惯。进入罐、限制性空间或其它高浓度区作业，须有人监护。</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急救措施</w:t>
            </w:r>
          </w:p>
        </w:tc>
        <w:tc>
          <w:tcPr>
            <w:tcW w:w="7774"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皮肤接触：立即脱去被污染的衣着，用大量清水冲洗。就医。</w:t>
            </w:r>
          </w:p>
          <w:p>
            <w:pPr>
              <w:pStyle w:val="18"/>
              <w:jc w:val="left"/>
              <w:rPr>
                <w:rFonts w:eastAsia="仿宋"/>
                <w:sz w:val="21"/>
                <w:szCs w:val="21"/>
              </w:rPr>
            </w:pPr>
            <w:r>
              <w:rPr>
                <w:rStyle w:val="138"/>
                <w:rFonts w:ascii="Times New Roman" w:eastAsia="仿宋" w:cs="Times New Roman"/>
                <w:spacing w:val="0"/>
                <w:lang w:val="zh-TW" w:eastAsia="zh-TW"/>
              </w:rPr>
              <w:t>眼睛接触：提起眼睑，用流动清水或生理盐水冲洗。</w:t>
            </w:r>
          </w:p>
          <w:p>
            <w:pPr>
              <w:pStyle w:val="18"/>
              <w:jc w:val="left"/>
              <w:rPr>
                <w:rFonts w:eastAsia="仿宋"/>
                <w:sz w:val="21"/>
                <w:szCs w:val="21"/>
              </w:rPr>
            </w:pPr>
            <w:r>
              <w:rPr>
                <w:rStyle w:val="138"/>
                <w:rFonts w:ascii="Times New Roman" w:eastAsia="仿宋" w:cs="Times New Roman"/>
                <w:spacing w:val="0"/>
                <w:lang w:val="zh-TW" w:eastAsia="zh-TW"/>
              </w:rPr>
              <w:t>吸入：迅速脱离现场至空气新鲜处。呼吸心跳停止时，立即进行人工呼吸和胸外心脏按压术。</w:t>
            </w:r>
          </w:p>
          <w:p>
            <w:pPr>
              <w:pStyle w:val="18"/>
              <w:jc w:val="left"/>
              <w:rPr>
                <w:rFonts w:eastAsia="仿宋"/>
                <w:sz w:val="21"/>
                <w:szCs w:val="21"/>
              </w:rPr>
            </w:pPr>
            <w:r>
              <w:rPr>
                <w:rStyle w:val="138"/>
                <w:rFonts w:ascii="Times New Roman" w:eastAsia="仿宋" w:cs="Times New Roman"/>
                <w:spacing w:val="0"/>
                <w:lang w:val="zh-TW" w:eastAsia="zh-TW"/>
              </w:rPr>
              <w:t>灭火方法：本品不燃。消防人员必须佩戴过滤式防毒面具</w:t>
            </w:r>
            <w:r>
              <w:rPr>
                <w:rStyle w:val="139"/>
                <w:rFonts w:ascii="Times New Roman" w:eastAsia="仿宋" w:cs="Times New Roman"/>
                <w:sz w:val="21"/>
                <w:szCs w:val="21"/>
                <w:lang w:val="zh-TW" w:eastAsia="zh-TW"/>
              </w:rPr>
              <w:t>(</w:t>
            </w:r>
            <w:r>
              <w:rPr>
                <w:rStyle w:val="138"/>
                <w:rFonts w:ascii="Times New Roman" w:eastAsia="仿宋" w:cs="Times New Roman"/>
                <w:spacing w:val="0"/>
                <w:lang w:val="zh-TW" w:eastAsia="zh-TW"/>
              </w:rPr>
              <w:t>全面罩</w:t>
            </w:r>
            <w:r>
              <w:rPr>
                <w:rStyle w:val="139"/>
                <w:rFonts w:ascii="Times New Roman" w:eastAsia="仿宋" w:cs="Times New Roman"/>
                <w:sz w:val="21"/>
                <w:szCs w:val="21"/>
                <w:lang w:val="zh-TW" w:eastAsia="zh-TW"/>
              </w:rPr>
              <w:t>)</w:t>
            </w:r>
            <w:r>
              <w:rPr>
                <w:rStyle w:val="138"/>
                <w:rFonts w:ascii="Times New Roman" w:eastAsia="仿宋" w:cs="Times New Roman"/>
                <w:spacing w:val="0"/>
                <w:lang w:val="zh-TW" w:eastAsia="zh-TW"/>
              </w:rPr>
              <w:t>或隔离式呼吸器、穿全身防火防毒服，在上风处灭火。切断气源。喷水冷却容器，可能的话将容器从火场移至空旷处。灭火剂：雾状水、泡沫、干粉。</w:t>
            </w:r>
          </w:p>
        </w:tc>
      </w:tr>
    </w:tbl>
    <w:p>
      <w:pPr>
        <w:pStyle w:val="116"/>
        <w:rPr>
          <w:rFonts w:eastAsia="仿宋"/>
          <w:b w:val="0"/>
          <w:bCs/>
          <w:snapToGrid w:val="0"/>
          <w:kern w:val="0"/>
          <w:sz w:val="28"/>
          <w:szCs w:val="28"/>
        </w:rPr>
      </w:pPr>
    </w:p>
    <w:p>
      <w:pPr>
        <w:pStyle w:val="116"/>
        <w:rPr>
          <w:rFonts w:eastAsia="仿宋"/>
          <w:b w:val="0"/>
          <w:bCs/>
          <w:snapToGrid w:val="0"/>
          <w:kern w:val="0"/>
          <w:sz w:val="28"/>
          <w:szCs w:val="28"/>
        </w:rPr>
      </w:pPr>
    </w:p>
    <w:p>
      <w:pPr>
        <w:pStyle w:val="116"/>
        <w:rPr>
          <w:rFonts w:eastAsia="仿宋"/>
          <w:b w:val="0"/>
          <w:bCs/>
          <w:snapToGrid w:val="0"/>
          <w:kern w:val="0"/>
          <w:sz w:val="28"/>
          <w:szCs w:val="28"/>
        </w:rPr>
      </w:pPr>
      <w:r>
        <w:rPr>
          <w:rFonts w:eastAsia="仿宋"/>
          <w:b w:val="0"/>
          <w:bCs/>
          <w:snapToGrid w:val="0"/>
          <w:kern w:val="0"/>
          <w:sz w:val="28"/>
          <w:szCs w:val="28"/>
        </w:rPr>
        <w:t>物质性质一览表—三氯化磷</w:t>
      </w:r>
    </w:p>
    <w:tbl>
      <w:tblPr>
        <w:tblStyle w:val="35"/>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Layout w:type="fixed"/>
        <w:tblCellMar>
          <w:top w:w="0" w:type="dxa"/>
          <w:left w:w="0" w:type="dxa"/>
          <w:bottom w:w="0" w:type="dxa"/>
          <w:right w:w="0" w:type="dxa"/>
        </w:tblCellMar>
      </w:tblPr>
      <w:tblGrid>
        <w:gridCol w:w="1183"/>
        <w:gridCol w:w="3574"/>
        <w:gridCol w:w="1430"/>
        <w:gridCol w:w="277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国标编号</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val="zh-TW" w:eastAsia="zh-TW"/>
              </w:rPr>
              <w:t>81041</w:t>
            </w:r>
          </w:p>
        </w:tc>
        <w:tc>
          <w:tcPr>
            <w:tcW w:w="1430" w:type="dxa"/>
            <w:shd w:val="clear" w:color="auto" w:fill="FFFFFF"/>
            <w:noWrap/>
            <w:vAlign w:val="center"/>
          </w:tcPr>
          <w:p>
            <w:pPr>
              <w:pStyle w:val="18"/>
              <w:jc w:val="center"/>
              <w:rPr>
                <w:rFonts w:eastAsia="仿宋"/>
                <w:b/>
                <w:bCs/>
                <w:sz w:val="21"/>
                <w:szCs w:val="21"/>
              </w:rPr>
            </w:pPr>
            <w:r>
              <w:rPr>
                <w:rStyle w:val="139"/>
                <w:rFonts w:ascii="Times New Roman" w:eastAsia="仿宋" w:cs="Times New Roman"/>
                <w:b/>
                <w:bCs/>
                <w:sz w:val="21"/>
                <w:szCs w:val="21"/>
              </w:rPr>
              <w:t>CAS</w:t>
            </w:r>
            <w:r>
              <w:rPr>
                <w:rStyle w:val="138"/>
                <w:rFonts w:ascii="Times New Roman" w:eastAsia="仿宋" w:cs="Times New Roman"/>
                <w:b/>
                <w:bCs/>
                <w:spacing w:val="0"/>
                <w:lang w:val="zh-TW" w:eastAsia="zh-TW"/>
              </w:rPr>
              <w:t>号</w:t>
            </w:r>
          </w:p>
        </w:tc>
        <w:tc>
          <w:tcPr>
            <w:tcW w:w="2770"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rPr>
              <w:t>7719-12-2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中文名称</w:t>
            </w:r>
          </w:p>
        </w:tc>
        <w:tc>
          <w:tcPr>
            <w:tcW w:w="3574"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三氯化磷</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英文名称</w:t>
            </w:r>
          </w:p>
        </w:tc>
        <w:tc>
          <w:tcPr>
            <w:tcW w:w="2770"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rPr>
              <w:t>phosphorus trichloride； trichlorphosphine</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分子式</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eastAsia="zh-CN"/>
              </w:rPr>
              <w:t>P</w:t>
            </w:r>
            <w:r>
              <w:rPr>
                <w:rStyle w:val="139"/>
                <w:rFonts w:ascii="Times New Roman" w:eastAsia="仿宋" w:cs="Times New Roman"/>
                <w:sz w:val="21"/>
                <w:szCs w:val="21"/>
              </w:rPr>
              <w:t>Cl</w:t>
            </w:r>
            <w:r>
              <w:rPr>
                <w:rStyle w:val="139"/>
                <w:rFonts w:ascii="Times New Roman" w:eastAsia="仿宋" w:cs="Times New Roman"/>
                <w:sz w:val="21"/>
                <w:szCs w:val="21"/>
                <w:vertAlign w:val="subscript"/>
                <w:lang w:eastAsia="zh-CN"/>
              </w:rPr>
              <w:t>3</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外观与性状</w:t>
            </w:r>
          </w:p>
        </w:tc>
        <w:tc>
          <w:tcPr>
            <w:tcW w:w="2770"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无色澄清液体， 在潮湿空气中发烟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分子量</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val="zh-TW" w:eastAsia="zh-TW"/>
              </w:rPr>
              <w:t>137. 32</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蒸汽压</w:t>
            </w:r>
          </w:p>
        </w:tc>
        <w:tc>
          <w:tcPr>
            <w:tcW w:w="2770"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eastAsia="zh-CN"/>
              </w:rPr>
              <w:t>13.33</w:t>
            </w:r>
            <w:r>
              <w:rPr>
                <w:rStyle w:val="139"/>
                <w:rFonts w:ascii="Times New Roman" w:eastAsia="仿宋" w:cs="Times New Roman"/>
                <w:sz w:val="21"/>
                <w:szCs w:val="21"/>
              </w:rPr>
              <w:t xml:space="preserve"> kPa(</w:t>
            </w:r>
            <w:r>
              <w:rPr>
                <w:rStyle w:val="139"/>
                <w:rFonts w:ascii="Times New Roman" w:eastAsia="仿宋" w:cs="Times New Roman"/>
                <w:sz w:val="21"/>
                <w:szCs w:val="21"/>
                <w:lang w:eastAsia="zh-CN"/>
              </w:rPr>
              <w:t>21</w:t>
            </w:r>
            <w:r>
              <w:rPr>
                <w:rStyle w:val="138"/>
                <w:rFonts w:ascii="Times New Roman" w:eastAsia="仿宋" w:cs="Times New Roman"/>
                <w:spacing w:val="0"/>
              </w:rPr>
              <w:t>℃</w:t>
            </w:r>
            <w:r>
              <w:rPr>
                <w:rStyle w:val="138"/>
                <w:rFonts w:ascii="Times New Roman" w:eastAsia="仿宋" w:cs="Times New Roman"/>
                <w:spacing w:val="0"/>
                <w:lang w:eastAsia="en-US"/>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熔点</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val="zh-TW" w:eastAsia="zh-TW"/>
              </w:rPr>
              <w:t>-111. 8 ℃，沸点：76 ℃</w:t>
            </w:r>
          </w:p>
        </w:tc>
        <w:tc>
          <w:tcPr>
            <w:tcW w:w="1430" w:type="dxa"/>
            <w:shd w:val="clear" w:color="auto" w:fill="FFFFFF"/>
            <w:noWrap/>
            <w:vAlign w:val="center"/>
          </w:tcPr>
          <w:p>
            <w:pPr>
              <w:pStyle w:val="18"/>
              <w:jc w:val="center"/>
              <w:rPr>
                <w:rFonts w:eastAsia="仿宋"/>
                <w:b/>
                <w:bCs/>
                <w:sz w:val="21"/>
                <w:szCs w:val="21"/>
              </w:rPr>
            </w:pPr>
            <w:r>
              <w:rPr>
                <w:rStyle w:val="140"/>
                <w:rFonts w:ascii="Times New Roman" w:eastAsia="仿宋" w:cs="Times New Roman"/>
                <w:b/>
                <w:bCs/>
                <w:spacing w:val="0"/>
                <w:lang w:val="zh-TW" w:eastAsia="zh-TW"/>
              </w:rPr>
              <w:t>稳定性</w:t>
            </w:r>
          </w:p>
        </w:tc>
        <w:tc>
          <w:tcPr>
            <w:tcW w:w="2770" w:type="dxa"/>
            <w:shd w:val="clear" w:color="auto" w:fill="FFFFFF"/>
            <w:noWrap/>
            <w:vAlign w:val="center"/>
          </w:tcPr>
          <w:p>
            <w:pPr>
              <w:pStyle w:val="18"/>
              <w:jc w:val="center"/>
              <w:rPr>
                <w:rFonts w:eastAsia="仿宋"/>
                <w:sz w:val="21"/>
                <w:szCs w:val="21"/>
              </w:rPr>
            </w:pPr>
            <w:r>
              <w:rPr>
                <w:rStyle w:val="140"/>
                <w:rFonts w:ascii="Times New Roman" w:eastAsia="仿宋" w:cs="Times New Roman"/>
                <w:spacing w:val="0"/>
                <w:lang w:val="zh-TW" w:eastAsia="zh-TW"/>
              </w:rPr>
              <w:t>稳定</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40"/>
                <w:rFonts w:ascii="Times New Roman" w:eastAsia="仿宋" w:cs="Times New Roman"/>
                <w:b/>
                <w:bCs/>
                <w:spacing w:val="0"/>
                <w:lang w:val="zh-TW" w:eastAsia="zh-TW"/>
              </w:rPr>
              <w:t>密度</w:t>
            </w:r>
          </w:p>
        </w:tc>
        <w:tc>
          <w:tcPr>
            <w:tcW w:w="3574"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相对密度</w:t>
            </w:r>
            <w:r>
              <w:rPr>
                <w:rStyle w:val="139"/>
                <w:rFonts w:ascii="Times New Roman" w:eastAsia="仿宋" w:cs="Times New Roman"/>
                <w:sz w:val="21"/>
                <w:szCs w:val="21"/>
                <w:lang w:val="zh-TW" w:eastAsia="zh-TW"/>
              </w:rPr>
              <w:t>(</w:t>
            </w:r>
            <w:r>
              <w:rPr>
                <w:rStyle w:val="138"/>
                <w:rFonts w:ascii="Times New Roman" w:eastAsia="仿宋" w:cs="Times New Roman"/>
                <w:spacing w:val="0"/>
                <w:lang w:val="zh-TW" w:eastAsia="zh-TW"/>
              </w:rPr>
              <w:t>水</w:t>
            </w:r>
            <w:r>
              <w:rPr>
                <w:rStyle w:val="139"/>
                <w:rFonts w:ascii="Times New Roman" w:eastAsia="仿宋" w:cs="Times New Roman"/>
                <w:sz w:val="21"/>
                <w:szCs w:val="21"/>
                <w:lang w:eastAsia="zh-CN"/>
              </w:rPr>
              <w:t>=1)1.57；</w:t>
            </w:r>
            <w:r>
              <w:rPr>
                <w:rStyle w:val="138"/>
                <w:rFonts w:ascii="Times New Roman" w:eastAsia="仿宋" w:cs="Times New Roman"/>
                <w:spacing w:val="0"/>
                <w:lang w:val="zh-TW" w:eastAsia="zh-TW"/>
              </w:rPr>
              <w:t xml:space="preserve">相对密度(空气 </w:t>
            </w:r>
            <w:r>
              <w:rPr>
                <w:rStyle w:val="139"/>
                <w:rFonts w:ascii="Times New Roman" w:eastAsia="仿宋" w:cs="Times New Roman"/>
                <w:sz w:val="21"/>
                <w:szCs w:val="21"/>
                <w:lang w:eastAsia="zh-CN"/>
              </w:rPr>
              <w:t>=1)4.75</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溶解性</w:t>
            </w:r>
          </w:p>
        </w:tc>
        <w:tc>
          <w:tcPr>
            <w:tcW w:w="2770"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可混溶于二硫化碳、 乙醚、 苯、 四氯化碳</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危险性类别</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val="zh-TW" w:eastAsia="zh-TW"/>
              </w:rPr>
              <w:t>第8. 1类酸性腐蚀品，根据《危险货物品名表》GB12268，主危险性为6. 1类有毒品</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主要用途</w:t>
            </w:r>
          </w:p>
        </w:tc>
        <w:tc>
          <w:tcPr>
            <w:tcW w:w="2770"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用于制造有机磷化合物，也用作试剂等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侵入途径</w:t>
            </w:r>
          </w:p>
        </w:tc>
        <w:tc>
          <w:tcPr>
            <w:tcW w:w="7774" w:type="dxa"/>
            <w:gridSpan w:val="3"/>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食入、吸入</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健康危害</w:t>
            </w:r>
          </w:p>
        </w:tc>
        <w:tc>
          <w:tcPr>
            <w:tcW w:w="7774" w:type="dxa"/>
            <w:gridSpan w:val="3"/>
            <w:shd w:val="clear" w:color="auto" w:fill="FFFFFF"/>
            <w:noWrap/>
            <w:vAlign w:val="center"/>
          </w:tcPr>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三氯化磷在空气中可生成盐酸雾。对皮肤、粘膜有刺激腐蚀作用。短期内吸入大量蒸气可引起上呼吸道刺激症状，出现咽喉炎、支气管炎，严重者可发生喉头水肿致窒息、肺炎或肺水肿。皮肤及眼接触，可引起刺激症状或灼伤。严重眼灼伤可致失明。</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慢性影响：长期低浓度接触可引起眼及呼吸道刺激症状。可引起磷毒性口腔病</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毒性</w:t>
            </w:r>
          </w:p>
        </w:tc>
        <w:tc>
          <w:tcPr>
            <w:tcW w:w="7774" w:type="dxa"/>
            <w:gridSpan w:val="3"/>
            <w:shd w:val="clear" w:color="auto" w:fill="FFFFFF"/>
            <w:noWrap/>
            <w:vAlign w:val="center"/>
          </w:tcPr>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急性毒性：LD 50：550 mg/kg(大鼠经口) LC 50 : 582. 4 mg/m3（大鼠吸入，4h）</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刺激性：无资料</w:t>
            </w:r>
          </w:p>
          <w:p>
            <w:pPr>
              <w:pStyle w:val="18"/>
              <w:jc w:val="left"/>
              <w:rPr>
                <w:rFonts w:eastAsia="仿宋"/>
                <w:sz w:val="21"/>
                <w:szCs w:val="21"/>
              </w:rPr>
            </w:pPr>
            <w:r>
              <w:rPr>
                <w:rStyle w:val="138"/>
                <w:rFonts w:ascii="Times New Roman" w:eastAsia="仿宋" w:cs="Times New Roman"/>
                <w:spacing w:val="0"/>
                <w:lang w:val="zh-TW" w:eastAsia="zh-TW"/>
              </w:rPr>
              <w:t>亚急性与慢性毒性：大鼠吸入浓度33. 5 mg/m³，60d，出现体重增长缓慢和皮肤溃疡等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危险特性</w:t>
            </w:r>
          </w:p>
        </w:tc>
        <w:tc>
          <w:tcPr>
            <w:tcW w:w="7774"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遇水猛烈分解</w:t>
            </w:r>
            <w:r>
              <w:rPr>
                <w:rStyle w:val="138"/>
                <w:rFonts w:ascii="Times New Roman" w:eastAsia="仿宋" w:cs="Times New Roman"/>
                <w:spacing w:val="0"/>
                <w:lang w:val="zh-TW"/>
              </w:rPr>
              <w:t>，</w:t>
            </w:r>
            <w:r>
              <w:rPr>
                <w:rStyle w:val="138"/>
                <w:rFonts w:ascii="Times New Roman" w:eastAsia="仿宋" w:cs="Times New Roman"/>
                <w:spacing w:val="0"/>
                <w:lang w:val="zh-TW" w:eastAsia="zh-TW"/>
              </w:rPr>
              <w:t>产生大量的热和浓烟</w:t>
            </w:r>
            <w:r>
              <w:rPr>
                <w:rStyle w:val="138"/>
                <w:rFonts w:ascii="Times New Roman" w:eastAsia="仿宋" w:cs="Times New Roman"/>
                <w:spacing w:val="0"/>
                <w:lang w:val="zh-TW"/>
              </w:rPr>
              <w:t>，</w:t>
            </w:r>
            <w:r>
              <w:rPr>
                <w:rStyle w:val="138"/>
                <w:rFonts w:ascii="Times New Roman" w:eastAsia="仿宋" w:cs="Times New Roman"/>
                <w:spacing w:val="0"/>
                <w:lang w:val="zh-TW" w:eastAsia="zh-TW"/>
              </w:rPr>
              <w:t>甚至爆炸</w:t>
            </w:r>
            <w:r>
              <w:rPr>
                <w:rStyle w:val="138"/>
                <w:rFonts w:ascii="Times New Roman" w:eastAsia="仿宋" w:cs="Times New Roman"/>
                <w:spacing w:val="0"/>
                <w:lang w:val="zh-TW"/>
              </w:rPr>
              <w:t>。</w:t>
            </w:r>
            <w:r>
              <w:rPr>
                <w:rStyle w:val="138"/>
                <w:rFonts w:ascii="Times New Roman" w:eastAsia="仿宋" w:cs="Times New Roman"/>
                <w:spacing w:val="0"/>
                <w:lang w:val="zh-TW" w:eastAsia="zh-TW"/>
              </w:rPr>
              <w:t>对很多金属尤其是潮湿空气存在下有腐蚀性。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泄漏应急 处理</w:t>
            </w:r>
          </w:p>
        </w:tc>
        <w:tc>
          <w:tcPr>
            <w:tcW w:w="7774"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应急行动：根据液体流动和蒸气扩散的影响区域划定警戒区，无关人员从侧、上风向撤离至安全区。 建议应急处理人员戴正压自给式呼吸器，穿防酸碱服，戴橡胶耐酸碱手套。穿上适当的防护服前严禁接触破裂的容器和泄漏物。尽可能切断泄漏源。勿使泄漏物与可燃物质（如木材、纸、油等）、接触。防止泄漏物进入水体、下水道、地下室或限制性空间。小量泄漏：用干燥的砂土或其他不燃材料覆盖泄漏物，置于一盖子较松的塑料容器中，待处置。大量泄漏：构筑围堤或挖坑收容。用砂土、惰性物质或蛭石吸收大量液体。用石灰（CaO）、碎石灰石（CaCO3）或碳酸氢钠（NaHCO3） 中和。用耐腐蚀泵转移至槽车或专用收集器内</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防护措施</w:t>
            </w:r>
          </w:p>
        </w:tc>
        <w:tc>
          <w:tcPr>
            <w:tcW w:w="7774" w:type="dxa"/>
            <w:gridSpan w:val="3"/>
            <w:shd w:val="clear" w:color="auto" w:fill="FFFFFF"/>
            <w:noWrap/>
            <w:vAlign w:val="center"/>
          </w:tcPr>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呼吸系统防护：可能接触其蒸气时，必须佩戴自吸过滤式防毒面具（全面罩） 或隔离式呼吸器。紧急事态抢救或撤离时，建议佩戴空气呼吸器。</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眼睛防护：戴化学安全防护眼镜</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身体防护：穿橡胶耐酸碱服</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手防护：戴橡胶耐酸碱手套</w:t>
            </w:r>
          </w:p>
          <w:p>
            <w:pPr>
              <w:pStyle w:val="18"/>
              <w:jc w:val="left"/>
              <w:rPr>
                <w:rFonts w:eastAsia="仿宋"/>
                <w:sz w:val="21"/>
                <w:szCs w:val="21"/>
              </w:rPr>
            </w:pPr>
            <w:r>
              <w:rPr>
                <w:rStyle w:val="138"/>
                <w:rFonts w:ascii="Times New Roman" w:eastAsia="仿宋" w:cs="Times New Roman"/>
                <w:spacing w:val="0"/>
                <w:lang w:val="zh-TW" w:eastAsia="zh-TW"/>
              </w:rPr>
              <w:t>其他防护：工作现场禁止吸烟、进食和饮水。工作完毕，淋浴更衣。单独存放被毒物污染的衣服，洗后备用。注意个人清洁卫生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急救措施</w:t>
            </w:r>
          </w:p>
        </w:tc>
        <w:tc>
          <w:tcPr>
            <w:tcW w:w="7774" w:type="dxa"/>
            <w:gridSpan w:val="3"/>
            <w:shd w:val="clear" w:color="auto" w:fill="FFFFFF"/>
            <w:noWrap/>
            <w:vAlign w:val="center"/>
          </w:tcPr>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皮肤接触：立即脱去污染的衣着，立即用清洁棉花或布等吸去液体。用大量流动清水冲洗。如有不适感，就医。</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眼睛接触：立即提起眼睑，用大量流动清水或生理盐水彻底冲洗10-15 min。如有不适感，就医</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吸入：迅速脱离现场至空气新鲜处。保持呼吸道通畅。如呼吸困难，给输氧。呼吸、心跳停止，立即进行心肺复苏术。就医</w:t>
            </w:r>
          </w:p>
          <w:p>
            <w:pPr>
              <w:pStyle w:val="18"/>
              <w:jc w:val="left"/>
              <w:rPr>
                <w:rFonts w:eastAsia="仿宋"/>
                <w:sz w:val="21"/>
                <w:szCs w:val="21"/>
              </w:rPr>
            </w:pPr>
            <w:r>
              <w:rPr>
                <w:rStyle w:val="138"/>
                <w:rFonts w:ascii="Times New Roman" w:eastAsia="仿宋" w:cs="Times New Roman"/>
                <w:spacing w:val="0"/>
                <w:lang w:val="zh-TW" w:eastAsia="zh-TW"/>
              </w:rPr>
              <w:t>食入：用水漱口，无腐蚀症状者洗胃。忌服油类。 就医。</w:t>
            </w:r>
          </w:p>
        </w:tc>
      </w:tr>
    </w:tbl>
    <w:p>
      <w:pPr>
        <w:pStyle w:val="116"/>
        <w:rPr>
          <w:b w:val="0"/>
          <w:bCs/>
          <w:snapToGrid w:val="0"/>
          <w:kern w:val="0"/>
          <w:sz w:val="24"/>
        </w:rPr>
      </w:pPr>
      <w:r>
        <w:rPr>
          <w:rFonts w:eastAsia="仿宋"/>
          <w:b w:val="0"/>
          <w:bCs/>
          <w:snapToGrid w:val="0"/>
          <w:kern w:val="0"/>
          <w:sz w:val="28"/>
          <w:szCs w:val="28"/>
        </w:rPr>
        <w:t>物质性质一览表—</w:t>
      </w:r>
      <w:r>
        <w:rPr>
          <w:rFonts w:hint="eastAsia" w:eastAsia="仿宋"/>
          <w:b w:val="0"/>
          <w:bCs/>
          <w:snapToGrid w:val="0"/>
          <w:kern w:val="0"/>
          <w:sz w:val="28"/>
          <w:szCs w:val="28"/>
        </w:rPr>
        <w:t>五</w:t>
      </w:r>
      <w:r>
        <w:rPr>
          <w:rFonts w:eastAsia="仿宋"/>
          <w:b w:val="0"/>
          <w:bCs/>
          <w:snapToGrid w:val="0"/>
          <w:kern w:val="0"/>
          <w:sz w:val="28"/>
          <w:szCs w:val="28"/>
        </w:rPr>
        <w:t>氯化磷</w:t>
      </w:r>
    </w:p>
    <w:tbl>
      <w:tblPr>
        <w:tblStyle w:val="35"/>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Layout w:type="fixed"/>
        <w:tblCellMar>
          <w:top w:w="0" w:type="dxa"/>
          <w:left w:w="0" w:type="dxa"/>
          <w:bottom w:w="0" w:type="dxa"/>
          <w:right w:w="0" w:type="dxa"/>
        </w:tblCellMar>
      </w:tblPr>
      <w:tblGrid>
        <w:gridCol w:w="1183"/>
        <w:gridCol w:w="3574"/>
        <w:gridCol w:w="1430"/>
        <w:gridCol w:w="277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国标编号</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val="zh-TW" w:eastAsia="zh-TW"/>
              </w:rPr>
              <w:t>81042</w:t>
            </w:r>
          </w:p>
        </w:tc>
        <w:tc>
          <w:tcPr>
            <w:tcW w:w="1430" w:type="dxa"/>
            <w:shd w:val="clear" w:color="auto" w:fill="FFFFFF"/>
            <w:noWrap/>
            <w:vAlign w:val="center"/>
          </w:tcPr>
          <w:p>
            <w:pPr>
              <w:pStyle w:val="18"/>
              <w:jc w:val="center"/>
              <w:rPr>
                <w:rFonts w:eastAsia="仿宋"/>
                <w:b/>
                <w:bCs/>
                <w:sz w:val="21"/>
                <w:szCs w:val="21"/>
              </w:rPr>
            </w:pPr>
            <w:r>
              <w:rPr>
                <w:rStyle w:val="139"/>
                <w:rFonts w:ascii="Times New Roman" w:eastAsia="仿宋" w:cs="Times New Roman"/>
                <w:b/>
                <w:bCs/>
                <w:sz w:val="21"/>
                <w:szCs w:val="21"/>
              </w:rPr>
              <w:t>CAS</w:t>
            </w:r>
            <w:r>
              <w:rPr>
                <w:rStyle w:val="138"/>
                <w:rFonts w:ascii="Times New Roman" w:eastAsia="仿宋" w:cs="Times New Roman"/>
                <w:b/>
                <w:bCs/>
                <w:spacing w:val="0"/>
                <w:lang w:val="zh-TW" w:eastAsia="zh-TW"/>
              </w:rPr>
              <w:t>号</w:t>
            </w:r>
          </w:p>
        </w:tc>
        <w:tc>
          <w:tcPr>
            <w:tcW w:w="2770"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rPr>
              <w:t>10026-13-8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中文名称</w:t>
            </w:r>
          </w:p>
        </w:tc>
        <w:tc>
          <w:tcPr>
            <w:tcW w:w="3574"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五氯化磷</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英文名称</w:t>
            </w:r>
          </w:p>
        </w:tc>
        <w:tc>
          <w:tcPr>
            <w:tcW w:w="2770" w:type="dxa"/>
            <w:shd w:val="clear" w:color="auto" w:fill="FFFFFF"/>
            <w:noWrap/>
            <w:vAlign w:val="center"/>
          </w:tcPr>
          <w:p>
            <w:pPr>
              <w:pStyle w:val="18"/>
              <w:jc w:val="center"/>
              <w:rPr>
                <w:rStyle w:val="139"/>
                <w:rFonts w:ascii="Times New Roman" w:eastAsia="仿宋" w:cs="Times New Roman"/>
                <w:sz w:val="21"/>
                <w:szCs w:val="21"/>
              </w:rPr>
            </w:pPr>
            <w:r>
              <w:rPr>
                <w:rStyle w:val="139"/>
                <w:rFonts w:ascii="Times New Roman" w:eastAsia="仿宋" w:cs="Times New Roman"/>
                <w:sz w:val="21"/>
                <w:szCs w:val="21"/>
              </w:rPr>
              <w:t>Phosphorus pentachloride；</w:t>
            </w:r>
          </w:p>
          <w:p>
            <w:pPr>
              <w:pStyle w:val="18"/>
              <w:jc w:val="center"/>
              <w:rPr>
                <w:rFonts w:eastAsia="仿宋"/>
                <w:sz w:val="21"/>
                <w:szCs w:val="21"/>
              </w:rPr>
            </w:pPr>
            <w:r>
              <w:rPr>
                <w:rStyle w:val="139"/>
                <w:rFonts w:ascii="Times New Roman" w:eastAsia="仿宋" w:cs="Times New Roman"/>
                <w:sz w:val="21"/>
                <w:szCs w:val="21"/>
              </w:rPr>
              <w:t>phosphorus（V） chloride</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分子式</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eastAsia="zh-CN"/>
              </w:rPr>
              <w:t>P</w:t>
            </w:r>
            <w:r>
              <w:rPr>
                <w:rStyle w:val="139"/>
                <w:rFonts w:ascii="Times New Roman" w:eastAsia="仿宋" w:cs="Times New Roman"/>
                <w:sz w:val="21"/>
                <w:szCs w:val="21"/>
              </w:rPr>
              <w:t>Cl</w:t>
            </w:r>
            <w:r>
              <w:rPr>
                <w:rStyle w:val="139"/>
                <w:rFonts w:ascii="Times New Roman" w:eastAsia="仿宋" w:cs="Times New Roman"/>
                <w:sz w:val="21"/>
                <w:szCs w:val="21"/>
                <w:vertAlign w:val="subscript"/>
                <w:lang w:eastAsia="zh-CN"/>
              </w:rPr>
              <w:t>5</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外观与性状</w:t>
            </w:r>
          </w:p>
        </w:tc>
        <w:tc>
          <w:tcPr>
            <w:tcW w:w="2770"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淡黄色结晶， 有刺激性气味， 易升华</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分子量</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val="zh-TW" w:eastAsia="zh-TW"/>
              </w:rPr>
              <w:t>208.22</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蒸汽压</w:t>
            </w:r>
          </w:p>
        </w:tc>
        <w:tc>
          <w:tcPr>
            <w:tcW w:w="2770"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eastAsia="zh-CN"/>
              </w:rPr>
              <w:t>无资料</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熔点</w:t>
            </w:r>
          </w:p>
        </w:tc>
        <w:tc>
          <w:tcPr>
            <w:tcW w:w="3574" w:type="dxa"/>
            <w:shd w:val="clear" w:color="auto" w:fill="FFFFFF"/>
            <w:noWrap/>
            <w:vAlign w:val="center"/>
          </w:tcPr>
          <w:p>
            <w:pPr>
              <w:pStyle w:val="18"/>
              <w:jc w:val="center"/>
              <w:rPr>
                <w:rFonts w:eastAsia="仿宋"/>
                <w:sz w:val="21"/>
                <w:szCs w:val="21"/>
              </w:rPr>
            </w:pPr>
            <w:r>
              <w:rPr>
                <w:rStyle w:val="139"/>
                <w:rFonts w:ascii="Times New Roman" w:eastAsia="仿宋" w:cs="Times New Roman"/>
                <w:sz w:val="21"/>
                <w:szCs w:val="21"/>
                <w:lang w:val="zh-TW" w:eastAsia="zh-TW"/>
              </w:rPr>
              <w:t>148 ℃，沸点：160 ℃</w:t>
            </w:r>
          </w:p>
        </w:tc>
        <w:tc>
          <w:tcPr>
            <w:tcW w:w="1430" w:type="dxa"/>
            <w:shd w:val="clear" w:color="auto" w:fill="FFFFFF"/>
            <w:noWrap/>
            <w:vAlign w:val="center"/>
          </w:tcPr>
          <w:p>
            <w:pPr>
              <w:pStyle w:val="18"/>
              <w:jc w:val="center"/>
              <w:rPr>
                <w:rFonts w:eastAsia="仿宋"/>
                <w:b/>
                <w:bCs/>
                <w:sz w:val="21"/>
                <w:szCs w:val="21"/>
              </w:rPr>
            </w:pPr>
            <w:r>
              <w:rPr>
                <w:rStyle w:val="140"/>
                <w:rFonts w:ascii="Times New Roman" w:eastAsia="仿宋" w:cs="Times New Roman"/>
                <w:b/>
                <w:bCs/>
                <w:spacing w:val="0"/>
                <w:lang w:val="zh-TW" w:eastAsia="zh-TW"/>
              </w:rPr>
              <w:t>稳定性</w:t>
            </w:r>
          </w:p>
        </w:tc>
        <w:tc>
          <w:tcPr>
            <w:tcW w:w="2770" w:type="dxa"/>
            <w:shd w:val="clear" w:color="auto" w:fill="FFFFFF"/>
            <w:noWrap/>
            <w:vAlign w:val="center"/>
          </w:tcPr>
          <w:p>
            <w:pPr>
              <w:pStyle w:val="18"/>
              <w:jc w:val="center"/>
              <w:rPr>
                <w:rFonts w:eastAsia="仿宋"/>
                <w:sz w:val="21"/>
                <w:szCs w:val="21"/>
              </w:rPr>
            </w:pPr>
            <w:r>
              <w:rPr>
                <w:rStyle w:val="140"/>
                <w:rFonts w:ascii="Times New Roman" w:eastAsia="仿宋" w:cs="Times New Roman"/>
                <w:spacing w:val="0"/>
                <w:lang w:val="zh-TW" w:eastAsia="zh-TW"/>
              </w:rPr>
              <w:t>稳定</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40"/>
                <w:rFonts w:ascii="Times New Roman" w:eastAsia="仿宋" w:cs="Times New Roman"/>
                <w:b/>
                <w:bCs/>
                <w:spacing w:val="0"/>
                <w:lang w:val="zh-TW" w:eastAsia="zh-TW"/>
              </w:rPr>
              <w:t>密度</w:t>
            </w:r>
          </w:p>
        </w:tc>
        <w:tc>
          <w:tcPr>
            <w:tcW w:w="3574"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相对密度</w:t>
            </w:r>
            <w:r>
              <w:rPr>
                <w:rStyle w:val="139"/>
                <w:rFonts w:ascii="Times New Roman" w:eastAsia="仿宋" w:cs="Times New Roman"/>
                <w:sz w:val="21"/>
                <w:szCs w:val="21"/>
                <w:lang w:val="zh-TW" w:eastAsia="zh-TW"/>
              </w:rPr>
              <w:t>(</w:t>
            </w:r>
            <w:r>
              <w:rPr>
                <w:rStyle w:val="138"/>
                <w:rFonts w:ascii="Times New Roman" w:eastAsia="仿宋" w:cs="Times New Roman"/>
                <w:spacing w:val="0"/>
                <w:lang w:val="zh-TW" w:eastAsia="zh-TW"/>
              </w:rPr>
              <w:t>水</w:t>
            </w:r>
            <w:r>
              <w:rPr>
                <w:rStyle w:val="139"/>
                <w:rFonts w:ascii="Times New Roman" w:eastAsia="仿宋" w:cs="Times New Roman"/>
                <w:sz w:val="21"/>
                <w:szCs w:val="21"/>
                <w:lang w:eastAsia="zh-CN"/>
              </w:rPr>
              <w:t>=1)1.6；</w:t>
            </w:r>
            <w:r>
              <w:rPr>
                <w:rStyle w:val="138"/>
                <w:rFonts w:ascii="Times New Roman" w:eastAsia="仿宋" w:cs="Times New Roman"/>
                <w:spacing w:val="0"/>
                <w:lang w:val="zh-TW" w:eastAsia="zh-TW"/>
              </w:rPr>
              <w:t>相对密度(空气</w:t>
            </w:r>
            <w:r>
              <w:rPr>
                <w:rStyle w:val="139"/>
                <w:rFonts w:ascii="Times New Roman" w:eastAsia="仿宋" w:cs="Times New Roman"/>
                <w:sz w:val="21"/>
                <w:szCs w:val="21"/>
                <w:lang w:eastAsia="zh-CN"/>
              </w:rPr>
              <w:t>=1)无资料</w:t>
            </w:r>
          </w:p>
        </w:tc>
        <w:tc>
          <w:tcPr>
            <w:tcW w:w="1430"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溶解性</w:t>
            </w:r>
          </w:p>
        </w:tc>
        <w:tc>
          <w:tcPr>
            <w:tcW w:w="2770" w:type="dxa"/>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溶于四氯化碳、 二硫化碳</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危险性类别</w:t>
            </w:r>
          </w:p>
        </w:tc>
        <w:tc>
          <w:tcPr>
            <w:tcW w:w="7774" w:type="dxa"/>
            <w:gridSpan w:val="3"/>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急性毒性-吸入, 类别 2*； 皮肤腐蚀/刺激, 类别 1B； 严重眼损伤/眼刺激, 类别 1； 特异性靶器官毒性-反复接触, 类别 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侵入途径</w:t>
            </w:r>
          </w:p>
        </w:tc>
        <w:tc>
          <w:tcPr>
            <w:tcW w:w="7774" w:type="dxa"/>
            <w:gridSpan w:val="3"/>
            <w:shd w:val="clear" w:color="auto" w:fill="FFFFFF"/>
            <w:noWrap/>
            <w:vAlign w:val="center"/>
          </w:tcPr>
          <w:p>
            <w:pPr>
              <w:pStyle w:val="18"/>
              <w:jc w:val="center"/>
              <w:rPr>
                <w:rFonts w:eastAsia="仿宋"/>
                <w:sz w:val="21"/>
                <w:szCs w:val="21"/>
              </w:rPr>
            </w:pPr>
            <w:r>
              <w:rPr>
                <w:rStyle w:val="138"/>
                <w:rFonts w:ascii="Times New Roman" w:eastAsia="仿宋" w:cs="Times New Roman"/>
                <w:spacing w:val="0"/>
                <w:lang w:val="zh-TW" w:eastAsia="zh-TW"/>
              </w:rPr>
              <w:t>食入、吸入</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健康危害</w:t>
            </w:r>
          </w:p>
        </w:tc>
        <w:tc>
          <w:tcPr>
            <w:tcW w:w="7774" w:type="dxa"/>
            <w:gridSpan w:val="3"/>
            <w:shd w:val="clear" w:color="auto" w:fill="FFFFFF"/>
            <w:noWrap/>
            <w:vAlign w:val="center"/>
          </w:tcPr>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其蒸气和烟尘可引起眼结膜刺激症状。 刺激咽喉引起灼痛、 失音或吞咽困难。 可引起支气管炎， 严应当重者发生肺炎、 肺水肿， 喉头水肿可致室息。 眼和皮肤接触可致灼伤； 慢性影响： 长期低浓度接触可引起眼及呼吸道刺激症状。 可引起磷毒性口腔病</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毒性</w:t>
            </w:r>
          </w:p>
        </w:tc>
        <w:tc>
          <w:tcPr>
            <w:tcW w:w="7774"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急性毒性：LD 50：660 mg/kg（大鼠经口）；LC 50 ：205 mg/m³（大鼠吸入）</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危险特性</w:t>
            </w:r>
          </w:p>
        </w:tc>
        <w:tc>
          <w:tcPr>
            <w:tcW w:w="7774"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遇水剧烈反应， 产生有毒气体。 与活性金属、 易燃物和可燃物等禁配物接触， 有发生火灾和爆炸的危险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CellMar>
            <w:top w:w="0" w:type="dxa"/>
            <w:left w:w="0" w:type="dxa"/>
            <w:bottom w:w="0" w:type="dxa"/>
            <w:right w:w="0" w:type="dxa"/>
          </w:tblCellMar>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泄漏应急 处理</w:t>
            </w:r>
          </w:p>
        </w:tc>
        <w:tc>
          <w:tcPr>
            <w:tcW w:w="7774"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作业人员防护措施、防护装备和应急处置程序：隔离泄漏污染区，限制出入。建议应急处理人员戴防尘口罩、穿防酸碱服，戴橡胶耐酸碱手套。穿上适当的防护服前严禁接触破裂的容器和泄漏物。尽可能切断泄漏源。勿使泄漏物与可燃物质(如木材、纸、油等) 接触泄漏化学品的收容、清除方法及所使用的处置材料：小量泄漏：用干燥的砂土或其他不燃材料覆盖泄漏物，用洁净的无火花工具收集泄漏物，置于一盖子较松的塑料容器中，待处置。大量泄漏:用塑料布覆盖泄漏物，减少飞散， 避免雨淋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防护措施</w:t>
            </w:r>
          </w:p>
        </w:tc>
        <w:tc>
          <w:tcPr>
            <w:tcW w:w="7774" w:type="dxa"/>
            <w:gridSpan w:val="3"/>
            <w:shd w:val="clear" w:color="auto" w:fill="FFFFFF"/>
            <w:noWrap/>
            <w:vAlign w:val="center"/>
          </w:tcPr>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工程控制：密闭操作，注意通风。提供安全的淋浴和洗眼设备。</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呼吸系统防护：可能接触其蒸气时，必须佩戴过滤式防毒面具(半面罩) 或空气呼吸器；可能接触其粉尘时，建议佩戴过滤式防尘呼吸器。</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眼睛防护：戴化学安全防护眼镜。</w:t>
            </w:r>
          </w:p>
          <w:p>
            <w:pPr>
              <w:pStyle w:val="18"/>
              <w:jc w:val="left"/>
              <w:rPr>
                <w:rStyle w:val="138"/>
                <w:rFonts w:ascii="Times New Roman" w:eastAsia="仿宋" w:cs="Times New Roman"/>
                <w:spacing w:val="0"/>
                <w:lang w:val="zh-TW" w:eastAsia="zh-TW"/>
              </w:rPr>
            </w:pPr>
            <w:r>
              <w:rPr>
                <w:rStyle w:val="138"/>
                <w:rFonts w:ascii="Times New Roman" w:eastAsia="仿宋" w:cs="Times New Roman"/>
                <w:spacing w:val="0"/>
                <w:lang w:val="zh-TW" w:eastAsia="zh-TW"/>
              </w:rPr>
              <w:t>皮肤和身体防护：穿橡胶耐酸碱服。</w:t>
            </w:r>
          </w:p>
          <w:p>
            <w:pPr>
              <w:pStyle w:val="18"/>
              <w:jc w:val="left"/>
              <w:rPr>
                <w:rFonts w:eastAsia="仿宋"/>
                <w:sz w:val="21"/>
                <w:szCs w:val="21"/>
              </w:rPr>
            </w:pPr>
            <w:r>
              <w:rPr>
                <w:rStyle w:val="138"/>
                <w:rFonts w:ascii="Times New Roman" w:eastAsia="仿宋" w:cs="Times New Roman"/>
                <w:spacing w:val="0"/>
                <w:lang w:val="zh-TW" w:eastAsia="zh-TW"/>
              </w:rPr>
              <w:t>手防护： 戴橡胶耐酸碱手套。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shd w:val="clear" w:color="auto" w:fill="FFFFFF"/>
        </w:tblPrEx>
        <w:trPr>
          <w:trHeight w:val="340" w:hRule="atLeast"/>
          <w:jc w:val="center"/>
        </w:trPr>
        <w:tc>
          <w:tcPr>
            <w:tcW w:w="1183" w:type="dxa"/>
            <w:shd w:val="clear" w:color="auto" w:fill="FFFFFF"/>
            <w:noWrap/>
            <w:vAlign w:val="center"/>
          </w:tcPr>
          <w:p>
            <w:pPr>
              <w:pStyle w:val="18"/>
              <w:jc w:val="center"/>
              <w:rPr>
                <w:rFonts w:eastAsia="仿宋"/>
                <w:b/>
                <w:bCs/>
                <w:sz w:val="21"/>
                <w:szCs w:val="21"/>
              </w:rPr>
            </w:pPr>
            <w:r>
              <w:rPr>
                <w:rStyle w:val="138"/>
                <w:rFonts w:ascii="Times New Roman" w:eastAsia="仿宋" w:cs="Times New Roman"/>
                <w:b/>
                <w:bCs/>
                <w:spacing w:val="0"/>
                <w:lang w:val="zh-TW" w:eastAsia="zh-TW"/>
              </w:rPr>
              <w:t>急救措施</w:t>
            </w:r>
          </w:p>
        </w:tc>
        <w:tc>
          <w:tcPr>
            <w:tcW w:w="7774" w:type="dxa"/>
            <w:gridSpan w:val="3"/>
            <w:shd w:val="clear" w:color="auto" w:fill="FFFFFF"/>
            <w:noWrap/>
            <w:vAlign w:val="center"/>
          </w:tcPr>
          <w:p>
            <w:pPr>
              <w:pStyle w:val="18"/>
              <w:jc w:val="left"/>
              <w:rPr>
                <w:rFonts w:eastAsia="仿宋"/>
                <w:sz w:val="21"/>
                <w:szCs w:val="21"/>
              </w:rPr>
            </w:pPr>
            <w:r>
              <w:rPr>
                <w:rStyle w:val="138"/>
                <w:rFonts w:ascii="Times New Roman" w:eastAsia="仿宋" w:cs="Times New Roman"/>
                <w:spacing w:val="0"/>
                <w:lang w:val="zh-TW" w:eastAsia="zh-TW"/>
              </w:rPr>
              <w:t>吸入：迅速脱离现场至空气新鲜处。保持呼吸道通畅。如呼吸困难，给输氧。如呼吸、心跳停止，立即进行心肺复苏术。就医。皮肤接触：立即脱去污染的衣着，用大量流动清水彻底冲洗至少15 min。 就医。眼睛接触：立即分开眼睑，用流动清水或生理盐水彻底冲洗5~10 min。就医。食入：用水漱口，禁止催吐。给饮牛奶或蛋清。就医。</w:t>
            </w:r>
          </w:p>
        </w:tc>
      </w:tr>
    </w:tbl>
    <w:p>
      <w:pPr>
        <w:pStyle w:val="116"/>
        <w:rPr>
          <w:b w:val="0"/>
          <w:bCs/>
          <w:snapToGrid w:val="0"/>
          <w:kern w:val="0"/>
          <w:sz w:val="24"/>
        </w:rPr>
      </w:pPr>
      <w:bookmarkStart w:id="161" w:name="_Hlk72693064"/>
      <w:r>
        <w:rPr>
          <w:rFonts w:hint="eastAsia" w:ascii="仿宋" w:hAnsi="仿宋" w:eastAsia="仿宋" w:cs="仿宋"/>
          <w:b w:val="0"/>
          <w:bCs/>
          <w:snapToGrid w:val="0"/>
          <w:kern w:val="0"/>
          <w:sz w:val="28"/>
          <w:szCs w:val="28"/>
        </w:rPr>
        <w:t>物质性质一览表—盐酸</w:t>
      </w:r>
    </w:p>
    <w:tbl>
      <w:tblPr>
        <w:tblStyle w:val="35"/>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61"/>
        <w:gridCol w:w="761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61" w:type="dxa"/>
            <w:noWrap/>
            <w:vAlign w:val="center"/>
          </w:tcPr>
          <w:p>
            <w:pPr>
              <w:jc w:val="center"/>
              <w:rPr>
                <w:rFonts w:eastAsia="仿宋"/>
                <w:b/>
                <w:bCs/>
              </w:rPr>
            </w:pPr>
            <w:r>
              <w:rPr>
                <w:rFonts w:eastAsia="仿宋"/>
                <w:b/>
                <w:bCs/>
              </w:rPr>
              <w:t>物质名称</w:t>
            </w:r>
          </w:p>
        </w:tc>
        <w:tc>
          <w:tcPr>
            <w:tcW w:w="7612" w:type="dxa"/>
            <w:noWrap/>
            <w:vAlign w:val="center"/>
          </w:tcPr>
          <w:p>
            <w:pPr>
              <w:tabs>
                <w:tab w:val="left" w:pos="1510"/>
              </w:tabs>
              <w:rPr>
                <w:rFonts w:eastAsia="仿宋"/>
              </w:rPr>
            </w:pPr>
            <w:r>
              <w:rPr>
                <w:rFonts w:eastAsia="仿宋"/>
              </w:rPr>
              <w:t>化学品中文名称：盐酸</w:t>
            </w:r>
          </w:p>
          <w:p>
            <w:pPr>
              <w:tabs>
                <w:tab w:val="left" w:pos="1510"/>
              </w:tabs>
              <w:rPr>
                <w:rFonts w:eastAsia="仿宋"/>
              </w:rPr>
            </w:pPr>
            <w:r>
              <w:rPr>
                <w:rFonts w:eastAsia="仿宋"/>
              </w:rPr>
              <w:t xml:space="preserve">化学品英文名称：Hydrochloric acid；Chlorohydric acid </w:t>
            </w:r>
          </w:p>
          <w:p>
            <w:pPr>
              <w:tabs>
                <w:tab w:val="left" w:pos="1510"/>
              </w:tabs>
              <w:rPr>
                <w:rFonts w:eastAsia="仿宋"/>
              </w:rPr>
            </w:pPr>
            <w:r>
              <w:rPr>
                <w:rFonts w:eastAsia="仿宋"/>
              </w:rPr>
              <w:t xml:space="preserve">CAS No.：7647-01-0  </w:t>
            </w:r>
          </w:p>
          <w:p>
            <w:pPr>
              <w:tabs>
                <w:tab w:val="left" w:pos="1510"/>
              </w:tabs>
              <w:rPr>
                <w:rFonts w:eastAsia="仿宋"/>
              </w:rPr>
            </w:pPr>
            <w:r>
              <w:rPr>
                <w:rFonts w:eastAsia="仿宋"/>
              </w:rPr>
              <w:t xml:space="preserve">分子式：HCl </w:t>
            </w:r>
          </w:p>
          <w:p>
            <w:pPr>
              <w:tabs>
                <w:tab w:val="left" w:pos="1510"/>
              </w:tabs>
              <w:rPr>
                <w:rFonts w:eastAsia="仿宋"/>
              </w:rPr>
            </w:pPr>
            <w:r>
              <w:rPr>
                <w:rFonts w:eastAsia="仿宋"/>
              </w:rPr>
              <w:t xml:space="preserve">分子量：36.46 </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61" w:type="dxa"/>
            <w:noWrap/>
            <w:vAlign w:val="center"/>
          </w:tcPr>
          <w:p>
            <w:pPr>
              <w:jc w:val="center"/>
              <w:rPr>
                <w:rFonts w:eastAsia="仿宋"/>
                <w:b/>
                <w:bCs/>
              </w:rPr>
            </w:pPr>
            <w:r>
              <w:rPr>
                <w:rFonts w:eastAsia="仿宋"/>
                <w:b/>
                <w:bCs/>
              </w:rPr>
              <w:t>理化性质</w:t>
            </w:r>
          </w:p>
        </w:tc>
        <w:tc>
          <w:tcPr>
            <w:tcW w:w="7612" w:type="dxa"/>
            <w:noWrap/>
            <w:vAlign w:val="center"/>
          </w:tcPr>
          <w:p>
            <w:pPr>
              <w:tabs>
                <w:tab w:val="left" w:pos="1510"/>
              </w:tabs>
              <w:rPr>
                <w:rFonts w:eastAsia="仿宋"/>
              </w:rPr>
            </w:pPr>
            <w:r>
              <w:rPr>
                <w:rFonts w:eastAsia="仿宋"/>
              </w:rPr>
              <w:t>外观与性状：无色或微黄色发烟液体，有刺鼻的酸味</w:t>
            </w:r>
          </w:p>
          <w:p>
            <w:pPr>
              <w:tabs>
                <w:tab w:val="left" w:pos="1510"/>
              </w:tabs>
              <w:rPr>
                <w:rFonts w:eastAsia="仿宋"/>
              </w:rPr>
            </w:pPr>
            <w:r>
              <w:rPr>
                <w:rFonts w:eastAsia="仿宋"/>
              </w:rPr>
              <w:t xml:space="preserve">熔点(℃)：-114.8 </w:t>
            </w:r>
          </w:p>
          <w:p>
            <w:pPr>
              <w:tabs>
                <w:tab w:val="left" w:pos="1510"/>
              </w:tabs>
              <w:rPr>
                <w:rFonts w:eastAsia="仿宋"/>
              </w:rPr>
            </w:pPr>
            <w:r>
              <w:rPr>
                <w:rFonts w:eastAsia="仿宋"/>
              </w:rPr>
              <w:t xml:space="preserve">沸点(℃)：108.6 </w:t>
            </w:r>
          </w:p>
          <w:p>
            <w:pPr>
              <w:tabs>
                <w:tab w:val="left" w:pos="1510"/>
              </w:tabs>
              <w:rPr>
                <w:rFonts w:eastAsia="仿宋"/>
              </w:rPr>
            </w:pPr>
            <w:r>
              <w:rPr>
                <w:rFonts w:eastAsia="仿宋"/>
              </w:rPr>
              <w:t>相对密度(水=1)：1.2</w:t>
            </w:r>
          </w:p>
          <w:p>
            <w:pPr>
              <w:tabs>
                <w:tab w:val="left" w:pos="1510"/>
              </w:tabs>
              <w:rPr>
                <w:rFonts w:eastAsia="仿宋"/>
              </w:rPr>
            </w:pPr>
            <w:r>
              <w:rPr>
                <w:rFonts w:eastAsia="仿宋"/>
              </w:rPr>
              <w:t>相对蒸气密度(空气=1)：1.26</w:t>
            </w:r>
          </w:p>
          <w:p>
            <w:pPr>
              <w:tabs>
                <w:tab w:val="left" w:pos="1510"/>
              </w:tabs>
              <w:rPr>
                <w:rFonts w:eastAsia="仿宋"/>
              </w:rPr>
            </w:pPr>
            <w:r>
              <w:rPr>
                <w:rFonts w:eastAsia="仿宋"/>
              </w:rPr>
              <w:t>溶解性：与水混溶，溶于碱液</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61" w:type="dxa"/>
            <w:noWrap/>
            <w:vAlign w:val="center"/>
          </w:tcPr>
          <w:p>
            <w:pPr>
              <w:jc w:val="center"/>
              <w:rPr>
                <w:rFonts w:eastAsia="仿宋"/>
                <w:b/>
                <w:bCs/>
              </w:rPr>
            </w:pPr>
            <w:r>
              <w:rPr>
                <w:rFonts w:eastAsia="仿宋"/>
                <w:b/>
                <w:bCs/>
              </w:rPr>
              <w:t>稳定性和反应活性</w:t>
            </w:r>
          </w:p>
        </w:tc>
        <w:tc>
          <w:tcPr>
            <w:tcW w:w="7612" w:type="dxa"/>
            <w:noWrap/>
            <w:vAlign w:val="center"/>
          </w:tcPr>
          <w:p>
            <w:pPr>
              <w:tabs>
                <w:tab w:val="left" w:pos="1510"/>
              </w:tabs>
              <w:rPr>
                <w:rFonts w:eastAsia="仿宋"/>
              </w:rPr>
            </w:pPr>
            <w:r>
              <w:rPr>
                <w:rFonts w:eastAsia="仿宋"/>
              </w:rPr>
              <w:t>稳定性：稳定</w:t>
            </w:r>
          </w:p>
          <w:p>
            <w:pPr>
              <w:tabs>
                <w:tab w:val="left" w:pos="1510"/>
              </w:tabs>
              <w:rPr>
                <w:rFonts w:eastAsia="仿宋"/>
              </w:rPr>
            </w:pPr>
            <w:r>
              <w:rPr>
                <w:rFonts w:eastAsia="仿宋"/>
              </w:rPr>
              <w:t>分解产物：氯化氢</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61" w:type="dxa"/>
            <w:noWrap/>
            <w:vAlign w:val="center"/>
          </w:tcPr>
          <w:p>
            <w:pPr>
              <w:jc w:val="center"/>
              <w:rPr>
                <w:rFonts w:eastAsia="仿宋"/>
                <w:b/>
                <w:bCs/>
              </w:rPr>
            </w:pPr>
            <w:r>
              <w:rPr>
                <w:rFonts w:eastAsia="仿宋"/>
                <w:b/>
                <w:bCs/>
              </w:rPr>
              <w:t>操作处置与贮存</w:t>
            </w:r>
          </w:p>
        </w:tc>
        <w:tc>
          <w:tcPr>
            <w:tcW w:w="7612" w:type="dxa"/>
            <w:noWrap/>
            <w:vAlign w:val="center"/>
          </w:tcPr>
          <w:p>
            <w:pPr>
              <w:tabs>
                <w:tab w:val="left" w:pos="1510"/>
              </w:tabs>
              <w:rPr>
                <w:rFonts w:eastAsia="仿宋"/>
              </w:rPr>
            </w:pPr>
            <w:r>
              <w:rPr>
                <w:rFonts w:eastAsia="仿宋"/>
              </w:rPr>
              <w:t>贮存注意事项：防泄漏</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61" w:type="dxa"/>
            <w:noWrap/>
            <w:vAlign w:val="center"/>
          </w:tcPr>
          <w:p>
            <w:pPr>
              <w:jc w:val="center"/>
              <w:rPr>
                <w:rFonts w:eastAsia="仿宋"/>
                <w:b/>
                <w:bCs/>
              </w:rPr>
            </w:pPr>
            <w:r>
              <w:rPr>
                <w:rFonts w:eastAsia="仿宋"/>
                <w:b/>
                <w:bCs/>
              </w:rPr>
              <w:t>危险性概述</w:t>
            </w:r>
          </w:p>
        </w:tc>
        <w:tc>
          <w:tcPr>
            <w:tcW w:w="7612" w:type="dxa"/>
            <w:noWrap/>
            <w:vAlign w:val="center"/>
          </w:tcPr>
          <w:p>
            <w:pPr>
              <w:tabs>
                <w:tab w:val="left" w:pos="1510"/>
              </w:tabs>
              <w:rPr>
                <w:rFonts w:eastAsia="仿宋"/>
              </w:rPr>
            </w:pPr>
            <w:r>
              <w:rPr>
                <w:rFonts w:eastAsia="仿宋"/>
              </w:rPr>
              <w:t>危险性类别：酸性腐蚀品</w:t>
            </w:r>
          </w:p>
          <w:p>
            <w:pPr>
              <w:tabs>
                <w:tab w:val="left" w:pos="1510"/>
              </w:tabs>
              <w:rPr>
                <w:rFonts w:eastAsia="仿宋"/>
              </w:rPr>
            </w:pPr>
            <w:r>
              <w:rPr>
                <w:rFonts w:eastAsia="仿宋"/>
              </w:rPr>
              <w:t>侵入途径：吸入、食入</w:t>
            </w:r>
          </w:p>
          <w:p>
            <w:pPr>
              <w:tabs>
                <w:tab w:val="left" w:pos="1510"/>
              </w:tabs>
              <w:rPr>
                <w:rFonts w:eastAsia="仿宋"/>
              </w:rPr>
            </w:pPr>
            <w:r>
              <w:rPr>
                <w:rFonts w:eastAsia="仿宋"/>
              </w:rPr>
              <w:t>健康危害：接触其蒸气或烟雾，引起眼结膜炎，鼻及口腔粘膜有烧灼感，鼻衄、齿龈出血、气管炎；刺激皮肤发生皮炎，慢性支气管炎等病变。误服盐酸中毒，可引起消化道灼伤、溃疡形成，有可能胃穿孔、腹膜炎等</w:t>
            </w:r>
          </w:p>
          <w:p>
            <w:pPr>
              <w:tabs>
                <w:tab w:val="left" w:pos="1510"/>
              </w:tabs>
              <w:rPr>
                <w:rFonts w:eastAsia="仿宋"/>
              </w:rPr>
            </w:pPr>
            <w:r>
              <w:rPr>
                <w:rFonts w:eastAsia="仿宋"/>
              </w:rPr>
              <w:t>危险特性：能与一些活性金属粉末发生反应，放出氢气。遇氰化物能产生剧毒的氰化氢气体。与碱发生中合反应，并放出大量的热。具有强腐蚀性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61" w:type="dxa"/>
            <w:noWrap/>
            <w:vAlign w:val="center"/>
          </w:tcPr>
          <w:p>
            <w:pPr>
              <w:jc w:val="center"/>
              <w:rPr>
                <w:rFonts w:eastAsia="仿宋"/>
                <w:b/>
                <w:bCs/>
              </w:rPr>
            </w:pPr>
            <w:r>
              <w:rPr>
                <w:rFonts w:eastAsia="仿宋"/>
                <w:b/>
                <w:bCs/>
              </w:rPr>
              <w:t>泄漏应急处理</w:t>
            </w:r>
          </w:p>
        </w:tc>
        <w:tc>
          <w:tcPr>
            <w:tcW w:w="7612" w:type="dxa"/>
            <w:noWrap/>
            <w:vAlign w:val="center"/>
          </w:tcPr>
          <w:p>
            <w:pPr>
              <w:tabs>
                <w:tab w:val="left" w:pos="1510"/>
              </w:tabs>
              <w:rPr>
                <w:rFonts w:eastAsia="仿宋"/>
              </w:rPr>
            </w:pPr>
            <w:r>
              <w:rPr>
                <w:rFonts w:eastAsia="仿宋"/>
              </w:rPr>
              <w:t> 疏散泄漏污染区人员至安全区，禁止无关人员进入污染区，建议应急处理人员戴好面罩，穿化学防护服。不要直接接触泄漏物，禁止向泄漏物直接喷水。更不要让水进入包装容器内。用沙土、干燥石灰或苏打灰混合，然后收集运至废物处理场所处置。也可以用大量水冲洗，经稀释的洗水放入废水系统。如大量泄漏，利用围堤收容，然后收集、转移、回收或无害处理后废弃。</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61" w:type="dxa"/>
            <w:noWrap/>
            <w:vAlign w:val="center"/>
          </w:tcPr>
          <w:p>
            <w:pPr>
              <w:jc w:val="center"/>
              <w:rPr>
                <w:rFonts w:eastAsia="仿宋"/>
                <w:b/>
                <w:bCs/>
              </w:rPr>
            </w:pPr>
            <w:r>
              <w:rPr>
                <w:rFonts w:eastAsia="仿宋"/>
                <w:b/>
                <w:bCs/>
              </w:rPr>
              <w:t>急救措施</w:t>
            </w:r>
          </w:p>
        </w:tc>
        <w:tc>
          <w:tcPr>
            <w:tcW w:w="7612" w:type="dxa"/>
            <w:noWrap/>
            <w:vAlign w:val="center"/>
          </w:tcPr>
          <w:p>
            <w:pPr>
              <w:tabs>
                <w:tab w:val="left" w:pos="1510"/>
              </w:tabs>
              <w:rPr>
                <w:rFonts w:eastAsia="仿宋"/>
              </w:rPr>
            </w:pPr>
            <w:r>
              <w:rPr>
                <w:rFonts w:eastAsia="仿宋"/>
              </w:rPr>
              <w:t>皮肤接触：立即用水冲洗至少15分钟。或用2%碳酸氢钠溶液冲洗。若有灼伤，就医治疗。</w:t>
            </w:r>
          </w:p>
          <w:p>
            <w:pPr>
              <w:tabs>
                <w:tab w:val="left" w:pos="1510"/>
              </w:tabs>
              <w:rPr>
                <w:rFonts w:eastAsia="仿宋"/>
              </w:rPr>
            </w:pPr>
            <w:r>
              <w:rPr>
                <w:rFonts w:eastAsia="仿宋"/>
              </w:rPr>
              <w:t>眼睛接触：立即提起眼睑，用流动清水冲洗10分钟或用2%碳酸氢钠溶液冲洗</w:t>
            </w:r>
          </w:p>
          <w:p>
            <w:pPr>
              <w:tabs>
                <w:tab w:val="left" w:pos="1510"/>
              </w:tabs>
              <w:rPr>
                <w:rFonts w:eastAsia="仿宋"/>
              </w:rPr>
            </w:pPr>
            <w:r>
              <w:rPr>
                <w:rFonts w:eastAsia="仿宋"/>
              </w:rPr>
              <w:t>吸入：迅速脱离现场至空气新鲜处。呼吸困难时给输氧。给予2-4%碳酸氢钠溶液雾化吸入。就医。</w:t>
            </w:r>
          </w:p>
          <w:p>
            <w:pPr>
              <w:tabs>
                <w:tab w:val="left" w:pos="1510"/>
              </w:tabs>
              <w:rPr>
                <w:rFonts w:eastAsia="仿宋"/>
              </w:rPr>
            </w:pPr>
            <w:r>
              <w:rPr>
                <w:rFonts w:eastAsia="仿宋"/>
              </w:rPr>
              <w:t>食入：误服者立即漱口，给牛奶、蛋清、植物油等口服，不可催吐。立即就医。</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61" w:type="dxa"/>
            <w:noWrap/>
            <w:vAlign w:val="center"/>
          </w:tcPr>
          <w:p>
            <w:pPr>
              <w:jc w:val="center"/>
              <w:rPr>
                <w:rFonts w:eastAsia="仿宋"/>
                <w:b/>
                <w:bCs/>
              </w:rPr>
            </w:pPr>
            <w:r>
              <w:rPr>
                <w:rFonts w:eastAsia="仿宋"/>
                <w:b/>
                <w:bCs/>
              </w:rPr>
              <w:t>消防措施</w:t>
            </w:r>
          </w:p>
        </w:tc>
        <w:tc>
          <w:tcPr>
            <w:tcW w:w="7612" w:type="dxa"/>
            <w:noWrap/>
            <w:vAlign w:val="center"/>
          </w:tcPr>
          <w:p>
            <w:pPr>
              <w:tabs>
                <w:tab w:val="left" w:pos="1510"/>
              </w:tabs>
              <w:rPr>
                <w:rFonts w:eastAsia="仿宋"/>
              </w:rPr>
            </w:pPr>
            <w:r>
              <w:rPr>
                <w:rFonts w:eastAsia="仿宋"/>
              </w:rPr>
              <w:t>灭火方法：雾状水、砂土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561" w:type="dxa"/>
            <w:noWrap/>
            <w:vAlign w:val="center"/>
          </w:tcPr>
          <w:p>
            <w:pPr>
              <w:jc w:val="center"/>
              <w:rPr>
                <w:rFonts w:eastAsia="仿宋"/>
                <w:b/>
                <w:bCs/>
              </w:rPr>
            </w:pPr>
            <w:r>
              <w:rPr>
                <w:rFonts w:eastAsia="仿宋"/>
                <w:b/>
                <w:bCs/>
              </w:rPr>
              <w:t>接触控制/个体防护</w:t>
            </w:r>
          </w:p>
        </w:tc>
        <w:tc>
          <w:tcPr>
            <w:tcW w:w="7612" w:type="dxa"/>
            <w:noWrap/>
            <w:vAlign w:val="center"/>
          </w:tcPr>
          <w:p>
            <w:pPr>
              <w:tabs>
                <w:tab w:val="left" w:pos="1510"/>
              </w:tabs>
              <w:rPr>
                <w:rFonts w:eastAsia="仿宋"/>
              </w:rPr>
            </w:pPr>
            <w:r>
              <w:rPr>
                <w:rFonts w:eastAsia="仿宋"/>
              </w:rPr>
              <w:t>呼吸系统防护：可能接触其蒸气或烟雾时，必须佩戴防毒面具或供气式头盔。紧急事态抢救或逃生时，建议佩带自给式呼吸器。</w:t>
            </w:r>
          </w:p>
          <w:p>
            <w:pPr>
              <w:tabs>
                <w:tab w:val="left" w:pos="1510"/>
              </w:tabs>
              <w:rPr>
                <w:rFonts w:eastAsia="仿宋"/>
              </w:rPr>
            </w:pPr>
            <w:r>
              <w:rPr>
                <w:rFonts w:eastAsia="仿宋"/>
              </w:rPr>
              <w:t>眼睛防护：戴化学安全防护眼镜。</w:t>
            </w:r>
          </w:p>
          <w:p>
            <w:pPr>
              <w:tabs>
                <w:tab w:val="left" w:pos="1510"/>
              </w:tabs>
              <w:rPr>
                <w:rFonts w:eastAsia="仿宋"/>
              </w:rPr>
            </w:pPr>
            <w:r>
              <w:rPr>
                <w:rFonts w:eastAsia="仿宋"/>
              </w:rPr>
              <w:t>身体防护：穿工作服（防腐材料制作）。</w:t>
            </w:r>
          </w:p>
          <w:p>
            <w:pPr>
              <w:tabs>
                <w:tab w:val="left" w:pos="1510"/>
              </w:tabs>
              <w:rPr>
                <w:rFonts w:eastAsia="仿宋"/>
              </w:rPr>
            </w:pPr>
            <w:r>
              <w:rPr>
                <w:rFonts w:eastAsia="仿宋"/>
              </w:rPr>
              <w:t>手防护：戴橡皮手套。</w:t>
            </w:r>
          </w:p>
          <w:p>
            <w:pPr>
              <w:tabs>
                <w:tab w:val="left" w:pos="1510"/>
              </w:tabs>
              <w:rPr>
                <w:rFonts w:eastAsia="仿宋"/>
              </w:rPr>
            </w:pPr>
            <w:r>
              <w:rPr>
                <w:rFonts w:eastAsia="仿宋"/>
              </w:rPr>
              <w:t>其它：工作后，淋浴更衣。单独存放被毒物污染的衣服，洗后再用。保持良好的卫生习惯。</w:t>
            </w:r>
          </w:p>
        </w:tc>
      </w:tr>
      <w:bookmarkEnd w:id="161"/>
    </w:tbl>
    <w:p>
      <w:pPr>
        <w:pStyle w:val="95"/>
        <w:ind w:firstLine="0" w:firstLineChars="0"/>
        <w:jc w:val="both"/>
        <w:rPr>
          <w:rFonts w:eastAsia="仿宋"/>
          <w:color w:val="C00000"/>
          <w:sz w:val="28"/>
          <w:szCs w:val="28"/>
        </w:rPr>
      </w:pPr>
      <w:r>
        <w:br w:type="page"/>
      </w:r>
      <w:bookmarkStart w:id="162" w:name="_Hlk73919652"/>
      <w:r>
        <w:rPr>
          <w:rFonts w:eastAsia="仿宋"/>
          <w:sz w:val="28"/>
          <w:szCs w:val="28"/>
        </w:rPr>
        <w:t>附件F1</w:t>
      </w:r>
      <w:r>
        <w:rPr>
          <w:rFonts w:hint="eastAsia" w:eastAsia="仿宋"/>
          <w:sz w:val="28"/>
          <w:szCs w:val="28"/>
          <w:lang w:val="en-US" w:eastAsia="zh-CN"/>
        </w:rPr>
        <w:t>5</w:t>
      </w:r>
      <w:r>
        <w:rPr>
          <w:rFonts w:eastAsia="仿宋"/>
          <w:sz w:val="28"/>
          <w:szCs w:val="28"/>
        </w:rPr>
        <w:t>：</w:t>
      </w:r>
      <w:bookmarkStart w:id="163" w:name="_Hlk99740961"/>
      <w:r>
        <w:rPr>
          <w:rFonts w:eastAsia="仿宋"/>
          <w:sz w:val="28"/>
          <w:szCs w:val="28"/>
        </w:rPr>
        <w:t>危险废物协议</w:t>
      </w:r>
      <w:bookmarkEnd w:id="162"/>
      <w:bookmarkEnd w:id="163"/>
    </w:p>
    <w:p>
      <w:pPr>
        <w:pStyle w:val="95"/>
        <w:ind w:firstLine="0" w:firstLineChars="0"/>
        <w:jc w:val="both"/>
        <w:rPr>
          <w:rFonts w:hint="eastAsia" w:eastAsia="宋体"/>
          <w:lang w:eastAsia="zh-CN"/>
        </w:rPr>
      </w:pPr>
      <w:r>
        <w:rPr>
          <w:rFonts w:hint="eastAsia" w:eastAsia="宋体"/>
          <w:lang w:eastAsia="zh-CN"/>
        </w:rPr>
        <w:drawing>
          <wp:inline distT="0" distB="0" distL="114300" distR="114300">
            <wp:extent cx="5546090" cy="7842885"/>
            <wp:effectExtent l="0" t="0" r="16510" b="5715"/>
            <wp:docPr id="28" name="图片 28" descr="七朵云危废合同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七朵云危废合同_页面_1"/>
                    <pic:cNvPicPr>
                      <a:picLocks noChangeAspect="1"/>
                    </pic:cNvPicPr>
                  </pic:nvPicPr>
                  <pic:blipFill>
                    <a:blip r:embed="rId49"/>
                    <a:stretch>
                      <a:fillRect/>
                    </a:stretch>
                  </pic:blipFill>
                  <pic:spPr>
                    <a:xfrm>
                      <a:off x="0" y="0"/>
                      <a:ext cx="5546090" cy="7842885"/>
                    </a:xfrm>
                    <a:prstGeom prst="rect">
                      <a:avLst/>
                    </a:prstGeom>
                  </pic:spPr>
                </pic:pic>
              </a:graphicData>
            </a:graphic>
          </wp:inline>
        </w:drawing>
      </w:r>
    </w:p>
    <w:p>
      <w:pPr>
        <w:pStyle w:val="95"/>
        <w:ind w:firstLine="0" w:firstLineChars="0"/>
        <w:jc w:val="both"/>
        <w:rPr>
          <w:rFonts w:hint="eastAsia" w:ascii="Calibri" w:hAnsi="Calibri" w:eastAsia="宋体"/>
          <w:kern w:val="2"/>
          <w:sz w:val="21"/>
          <w:szCs w:val="24"/>
          <w:lang w:eastAsia="zh-CN"/>
        </w:rPr>
      </w:pPr>
      <w:r>
        <w:rPr>
          <w:rFonts w:hint="eastAsia" w:ascii="Calibri" w:hAnsi="Calibri" w:eastAsia="宋体"/>
          <w:kern w:val="2"/>
          <w:sz w:val="21"/>
          <w:szCs w:val="24"/>
          <w:lang w:eastAsia="zh-CN"/>
        </w:rPr>
        <w:drawing>
          <wp:inline distT="0" distB="0" distL="114300" distR="114300">
            <wp:extent cx="5546090" cy="7842885"/>
            <wp:effectExtent l="0" t="0" r="16510" b="5715"/>
            <wp:docPr id="29" name="图片 29" descr="七朵云危废合同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七朵云危废合同_页面_2"/>
                    <pic:cNvPicPr>
                      <a:picLocks noChangeAspect="1"/>
                    </pic:cNvPicPr>
                  </pic:nvPicPr>
                  <pic:blipFill>
                    <a:blip r:embed="rId50"/>
                    <a:stretch>
                      <a:fillRect/>
                    </a:stretch>
                  </pic:blipFill>
                  <pic:spPr>
                    <a:xfrm>
                      <a:off x="0" y="0"/>
                      <a:ext cx="5546090" cy="7842885"/>
                    </a:xfrm>
                    <a:prstGeom prst="rect">
                      <a:avLst/>
                    </a:prstGeom>
                  </pic:spPr>
                </pic:pic>
              </a:graphicData>
            </a:graphic>
          </wp:inline>
        </w:drawing>
      </w:r>
    </w:p>
    <w:p>
      <w:pPr>
        <w:pStyle w:val="95"/>
        <w:ind w:firstLine="0" w:firstLineChars="0"/>
        <w:jc w:val="both"/>
        <w:rPr>
          <w:rFonts w:hint="eastAsia" w:ascii="Calibri" w:hAnsi="Calibri" w:eastAsia="宋体"/>
          <w:kern w:val="2"/>
          <w:sz w:val="21"/>
          <w:szCs w:val="24"/>
          <w:lang w:eastAsia="zh-CN"/>
        </w:rPr>
      </w:pPr>
      <w:r>
        <w:rPr>
          <w:rFonts w:hint="eastAsia" w:ascii="Calibri" w:hAnsi="Calibri" w:eastAsia="宋体"/>
          <w:kern w:val="2"/>
          <w:sz w:val="21"/>
          <w:szCs w:val="24"/>
          <w:lang w:eastAsia="zh-CN"/>
        </w:rPr>
        <w:drawing>
          <wp:inline distT="0" distB="0" distL="114300" distR="114300">
            <wp:extent cx="5546090" cy="7842885"/>
            <wp:effectExtent l="0" t="0" r="16510" b="5715"/>
            <wp:docPr id="30" name="图片 30" descr="七朵云危废合同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七朵云危废合同_页面_3"/>
                    <pic:cNvPicPr>
                      <a:picLocks noChangeAspect="1"/>
                    </pic:cNvPicPr>
                  </pic:nvPicPr>
                  <pic:blipFill>
                    <a:blip r:embed="rId51"/>
                    <a:stretch>
                      <a:fillRect/>
                    </a:stretch>
                  </pic:blipFill>
                  <pic:spPr>
                    <a:xfrm>
                      <a:off x="0" y="0"/>
                      <a:ext cx="5546090" cy="7842885"/>
                    </a:xfrm>
                    <a:prstGeom prst="rect">
                      <a:avLst/>
                    </a:prstGeom>
                  </pic:spPr>
                </pic:pic>
              </a:graphicData>
            </a:graphic>
          </wp:inline>
        </w:drawing>
      </w:r>
    </w:p>
    <w:p>
      <w:pPr>
        <w:pStyle w:val="95"/>
        <w:ind w:firstLine="0" w:firstLineChars="0"/>
        <w:jc w:val="both"/>
        <w:rPr>
          <w:rFonts w:hint="eastAsia" w:ascii="Calibri" w:hAnsi="Calibri" w:eastAsia="宋体"/>
          <w:kern w:val="2"/>
          <w:sz w:val="21"/>
          <w:szCs w:val="24"/>
          <w:lang w:eastAsia="zh-CN"/>
        </w:rPr>
      </w:pPr>
      <w:r>
        <w:rPr>
          <w:rFonts w:hint="eastAsia" w:ascii="Calibri" w:hAnsi="Calibri" w:eastAsia="宋体"/>
          <w:kern w:val="2"/>
          <w:sz w:val="21"/>
          <w:szCs w:val="24"/>
          <w:lang w:eastAsia="zh-CN"/>
        </w:rPr>
        <w:drawing>
          <wp:inline distT="0" distB="0" distL="114300" distR="114300">
            <wp:extent cx="5546090" cy="7842885"/>
            <wp:effectExtent l="0" t="0" r="16510" b="5715"/>
            <wp:docPr id="31" name="图片 31" descr="七朵云危废合同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七朵云危废合同_页面_4"/>
                    <pic:cNvPicPr>
                      <a:picLocks noChangeAspect="1"/>
                    </pic:cNvPicPr>
                  </pic:nvPicPr>
                  <pic:blipFill>
                    <a:blip r:embed="rId52"/>
                    <a:stretch>
                      <a:fillRect/>
                    </a:stretch>
                  </pic:blipFill>
                  <pic:spPr>
                    <a:xfrm>
                      <a:off x="0" y="0"/>
                      <a:ext cx="5546090" cy="7842885"/>
                    </a:xfrm>
                    <a:prstGeom prst="rect">
                      <a:avLst/>
                    </a:prstGeom>
                  </pic:spPr>
                </pic:pic>
              </a:graphicData>
            </a:graphic>
          </wp:inline>
        </w:drawing>
      </w:r>
    </w:p>
    <w:p>
      <w:pPr>
        <w:pStyle w:val="95"/>
        <w:ind w:firstLine="0" w:firstLineChars="0"/>
        <w:jc w:val="both"/>
        <w:rPr>
          <w:rFonts w:hint="eastAsia" w:ascii="Calibri" w:hAnsi="Calibri" w:eastAsia="宋体"/>
          <w:kern w:val="2"/>
          <w:sz w:val="21"/>
          <w:szCs w:val="24"/>
          <w:lang w:eastAsia="zh-CN"/>
        </w:rPr>
      </w:pPr>
      <w:r>
        <w:rPr>
          <w:rFonts w:hint="eastAsia" w:ascii="Calibri" w:hAnsi="Calibri" w:eastAsia="宋体"/>
          <w:kern w:val="2"/>
          <w:sz w:val="21"/>
          <w:szCs w:val="24"/>
          <w:lang w:eastAsia="zh-CN"/>
        </w:rPr>
        <w:drawing>
          <wp:inline distT="0" distB="0" distL="114300" distR="114300">
            <wp:extent cx="5546090" cy="7842885"/>
            <wp:effectExtent l="0" t="0" r="16510" b="5715"/>
            <wp:docPr id="32" name="图片 32" descr="七朵云危废合同_页面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七朵云危废合同_页面_5"/>
                    <pic:cNvPicPr>
                      <a:picLocks noChangeAspect="1"/>
                    </pic:cNvPicPr>
                  </pic:nvPicPr>
                  <pic:blipFill>
                    <a:blip r:embed="rId53"/>
                    <a:stretch>
                      <a:fillRect/>
                    </a:stretch>
                  </pic:blipFill>
                  <pic:spPr>
                    <a:xfrm>
                      <a:off x="0" y="0"/>
                      <a:ext cx="5546090" cy="7842885"/>
                    </a:xfrm>
                    <a:prstGeom prst="rect">
                      <a:avLst/>
                    </a:prstGeom>
                  </pic:spPr>
                </pic:pic>
              </a:graphicData>
            </a:graphic>
          </wp:inline>
        </w:drawing>
      </w:r>
    </w:p>
    <w:p>
      <w:pPr>
        <w:pStyle w:val="95"/>
        <w:ind w:firstLine="0" w:firstLineChars="0"/>
        <w:jc w:val="both"/>
        <w:rPr>
          <w:rFonts w:hint="eastAsia" w:ascii="Calibri" w:hAnsi="Calibri" w:eastAsia="宋体"/>
          <w:kern w:val="2"/>
          <w:sz w:val="21"/>
          <w:szCs w:val="24"/>
          <w:lang w:eastAsia="zh-CN"/>
        </w:rPr>
      </w:pPr>
      <w:r>
        <w:rPr>
          <w:rFonts w:hint="eastAsia" w:ascii="Calibri" w:hAnsi="Calibri" w:eastAsia="宋体"/>
          <w:kern w:val="2"/>
          <w:sz w:val="21"/>
          <w:szCs w:val="24"/>
          <w:lang w:eastAsia="zh-CN"/>
        </w:rPr>
        <w:drawing>
          <wp:inline distT="0" distB="0" distL="114300" distR="114300">
            <wp:extent cx="5546090" cy="7842885"/>
            <wp:effectExtent l="0" t="0" r="16510" b="5715"/>
            <wp:docPr id="33" name="图片 33" descr="七朵云危废合同_页面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七朵云危废合同_页面_6"/>
                    <pic:cNvPicPr>
                      <a:picLocks noChangeAspect="1"/>
                    </pic:cNvPicPr>
                  </pic:nvPicPr>
                  <pic:blipFill>
                    <a:blip r:embed="rId54"/>
                    <a:stretch>
                      <a:fillRect/>
                    </a:stretch>
                  </pic:blipFill>
                  <pic:spPr>
                    <a:xfrm>
                      <a:off x="0" y="0"/>
                      <a:ext cx="5546090" cy="7842885"/>
                    </a:xfrm>
                    <a:prstGeom prst="rect">
                      <a:avLst/>
                    </a:prstGeom>
                  </pic:spPr>
                </pic:pic>
              </a:graphicData>
            </a:graphic>
          </wp:inline>
        </w:drawing>
      </w:r>
    </w:p>
    <w:p>
      <w:pPr>
        <w:pStyle w:val="95"/>
        <w:ind w:firstLine="0" w:firstLineChars="0"/>
        <w:jc w:val="both"/>
        <w:rPr>
          <w:rFonts w:hint="eastAsia" w:ascii="Calibri" w:hAnsi="Calibri" w:eastAsia="宋体"/>
          <w:kern w:val="2"/>
          <w:sz w:val="21"/>
          <w:szCs w:val="24"/>
          <w:lang w:eastAsia="zh-CN"/>
        </w:rPr>
      </w:pPr>
      <w:r>
        <w:rPr>
          <w:rFonts w:hint="eastAsia" w:ascii="Calibri" w:hAnsi="Calibri" w:eastAsia="宋体"/>
          <w:kern w:val="2"/>
          <w:sz w:val="21"/>
          <w:szCs w:val="24"/>
          <w:lang w:eastAsia="zh-CN"/>
        </w:rPr>
        <w:drawing>
          <wp:inline distT="0" distB="0" distL="114300" distR="114300">
            <wp:extent cx="5546090" cy="7842885"/>
            <wp:effectExtent l="0" t="0" r="16510" b="5715"/>
            <wp:docPr id="35" name="图片 35" descr="七朵云危废合同_页面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七朵云危废合同_页面_7"/>
                    <pic:cNvPicPr>
                      <a:picLocks noChangeAspect="1"/>
                    </pic:cNvPicPr>
                  </pic:nvPicPr>
                  <pic:blipFill>
                    <a:blip r:embed="rId55"/>
                    <a:stretch>
                      <a:fillRect/>
                    </a:stretch>
                  </pic:blipFill>
                  <pic:spPr>
                    <a:xfrm>
                      <a:off x="0" y="0"/>
                      <a:ext cx="5546090" cy="7842885"/>
                    </a:xfrm>
                    <a:prstGeom prst="rect">
                      <a:avLst/>
                    </a:prstGeom>
                  </pic:spPr>
                </pic:pic>
              </a:graphicData>
            </a:graphic>
          </wp:inline>
        </w:drawing>
      </w:r>
    </w:p>
    <w:p>
      <w:pPr>
        <w:pStyle w:val="95"/>
        <w:ind w:firstLine="0" w:firstLineChars="0"/>
        <w:jc w:val="both"/>
        <w:rPr>
          <w:rFonts w:ascii="Calibri" w:hAnsi="Calibri" w:eastAsia="宋体"/>
          <w:kern w:val="2"/>
          <w:sz w:val="21"/>
          <w:szCs w:val="24"/>
        </w:rPr>
      </w:pPr>
    </w:p>
    <w:p>
      <w:pPr>
        <w:pStyle w:val="95"/>
        <w:ind w:firstLine="0" w:firstLineChars="0"/>
        <w:jc w:val="both"/>
        <w:rPr>
          <w:rFonts w:ascii="Calibri" w:hAnsi="Calibri" w:eastAsia="宋体"/>
          <w:kern w:val="2"/>
          <w:sz w:val="21"/>
          <w:szCs w:val="24"/>
        </w:rPr>
      </w:pPr>
    </w:p>
    <w:p>
      <w:pPr>
        <w:pStyle w:val="95"/>
        <w:ind w:firstLine="0" w:firstLineChars="0"/>
        <w:jc w:val="both"/>
        <w:rPr>
          <w:rFonts w:ascii="Calibri" w:hAnsi="Calibri" w:eastAsia="宋体"/>
          <w:kern w:val="2"/>
          <w:sz w:val="21"/>
          <w:szCs w:val="24"/>
        </w:rPr>
      </w:pPr>
    </w:p>
    <w:p>
      <w:pPr>
        <w:pStyle w:val="95"/>
        <w:ind w:firstLine="0" w:firstLineChars="0"/>
        <w:jc w:val="both"/>
        <w:rPr>
          <w:rFonts w:ascii="Calibri" w:hAnsi="Calibri" w:eastAsia="宋体"/>
          <w:kern w:val="2"/>
          <w:sz w:val="21"/>
          <w:szCs w:val="24"/>
        </w:rPr>
      </w:pPr>
    </w:p>
    <w:p>
      <w:pPr>
        <w:pStyle w:val="95"/>
        <w:ind w:firstLine="0" w:firstLineChars="0"/>
        <w:jc w:val="both"/>
        <w:rPr>
          <w:sz w:val="28"/>
          <w:szCs w:val="28"/>
        </w:rPr>
      </w:pPr>
      <w:r>
        <w:rPr>
          <w:color w:val="FF0000"/>
          <w:sz w:val="28"/>
          <w:szCs w:val="28"/>
        </w:rPr>
        <w:br w:type="page"/>
      </w:r>
      <w:r>
        <w:rPr>
          <w:rFonts w:eastAsia="仿宋"/>
          <w:sz w:val="28"/>
          <w:szCs w:val="28"/>
        </w:rPr>
        <w:t>附件F1</w:t>
      </w:r>
      <w:r>
        <w:rPr>
          <w:rFonts w:hint="eastAsia" w:eastAsia="仿宋"/>
          <w:sz w:val="28"/>
          <w:szCs w:val="28"/>
          <w:lang w:val="en-US" w:eastAsia="zh-CN"/>
        </w:rPr>
        <w:t>6</w:t>
      </w:r>
      <w:r>
        <w:rPr>
          <w:rFonts w:eastAsia="仿宋"/>
          <w:sz w:val="28"/>
          <w:szCs w:val="28"/>
        </w:rPr>
        <w:t>：</w:t>
      </w:r>
      <w:bookmarkStart w:id="164" w:name="_Hlk99740981"/>
      <w:r>
        <w:rPr>
          <w:rFonts w:eastAsia="仿宋"/>
          <w:sz w:val="28"/>
          <w:szCs w:val="28"/>
        </w:rPr>
        <w:t>罐区泄露应急处置卡</w:t>
      </w:r>
      <w:bookmarkEnd w:id="164"/>
    </w:p>
    <w:tbl>
      <w:tblPr>
        <w:tblStyle w:val="35"/>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51"/>
        <w:gridCol w:w="736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51" w:type="dxa"/>
            <w:noWrap/>
            <w:vAlign w:val="center"/>
          </w:tcPr>
          <w:p>
            <w:pPr>
              <w:jc w:val="center"/>
              <w:rPr>
                <w:rFonts w:hAnsi="仿宋" w:eastAsia="仿宋"/>
              </w:rPr>
            </w:pPr>
            <w:r>
              <w:rPr>
                <w:rFonts w:hAnsi="仿宋" w:eastAsia="仿宋"/>
              </w:rPr>
              <w:t>突发事件描述</w:t>
            </w:r>
          </w:p>
        </w:tc>
        <w:tc>
          <w:tcPr>
            <w:tcW w:w="7367" w:type="dxa"/>
            <w:noWrap/>
            <w:vAlign w:val="center"/>
          </w:tcPr>
          <w:p>
            <w:pPr>
              <w:jc w:val="center"/>
              <w:rPr>
                <w:rFonts w:hAnsi="仿宋" w:eastAsia="仿宋"/>
              </w:rPr>
            </w:pPr>
            <w:r>
              <w:rPr>
                <w:rFonts w:hAnsi="仿宋" w:eastAsia="仿宋"/>
              </w:rPr>
              <w:t>由于罐体、进出管线老化、损坏或在罐区作业过程中操作不当或其他原因，发生泄露</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51" w:type="dxa"/>
            <w:noWrap/>
            <w:vAlign w:val="center"/>
          </w:tcPr>
          <w:p>
            <w:pPr>
              <w:jc w:val="center"/>
              <w:rPr>
                <w:rFonts w:hAnsi="仿宋" w:eastAsia="仿宋"/>
              </w:rPr>
            </w:pPr>
            <w:r>
              <w:rPr>
                <w:rFonts w:hAnsi="仿宋" w:eastAsia="仿宋"/>
              </w:rPr>
              <w:t>危害及后果</w:t>
            </w:r>
          </w:p>
        </w:tc>
        <w:tc>
          <w:tcPr>
            <w:tcW w:w="7367" w:type="dxa"/>
            <w:noWrap/>
            <w:vAlign w:val="center"/>
          </w:tcPr>
          <w:p>
            <w:pPr>
              <w:jc w:val="center"/>
              <w:rPr>
                <w:rFonts w:hAnsi="仿宋" w:eastAsia="仿宋"/>
              </w:rPr>
            </w:pPr>
            <w:r>
              <w:rPr>
                <w:rFonts w:hAnsi="仿宋" w:eastAsia="仿宋"/>
              </w:rPr>
              <w:t>土壤或地下水受污染；遇明火或静电未正常释放引起火灾、爆炸事故；人员伤亡，财产损失</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51" w:type="dxa"/>
            <w:noWrap/>
            <w:vAlign w:val="center"/>
          </w:tcPr>
          <w:p>
            <w:pPr>
              <w:jc w:val="center"/>
              <w:rPr>
                <w:rFonts w:hAnsi="仿宋" w:eastAsia="仿宋"/>
              </w:rPr>
            </w:pPr>
            <w:r>
              <w:rPr>
                <w:rFonts w:hAnsi="仿宋" w:eastAsia="仿宋"/>
              </w:rPr>
              <w:t>应急物资</w:t>
            </w:r>
          </w:p>
        </w:tc>
        <w:tc>
          <w:tcPr>
            <w:tcW w:w="7367" w:type="dxa"/>
            <w:noWrap/>
            <w:vAlign w:val="center"/>
          </w:tcPr>
          <w:p>
            <w:pPr>
              <w:jc w:val="center"/>
              <w:rPr>
                <w:rFonts w:hAnsi="仿宋" w:eastAsia="仿宋"/>
              </w:rPr>
            </w:pPr>
            <w:r>
              <w:rPr>
                <w:rFonts w:hAnsi="仿宋" w:eastAsia="仿宋"/>
              </w:rPr>
              <w:t>灭火器、灭火毯、消防砂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51" w:type="dxa"/>
            <w:noWrap/>
            <w:vAlign w:val="center"/>
          </w:tcPr>
          <w:p>
            <w:pPr>
              <w:jc w:val="center"/>
              <w:rPr>
                <w:rFonts w:hAnsi="仿宋" w:eastAsia="仿宋"/>
              </w:rPr>
            </w:pPr>
            <w:r>
              <w:rPr>
                <w:rFonts w:hAnsi="仿宋" w:eastAsia="仿宋"/>
              </w:rPr>
              <w:t>处</w:t>
            </w:r>
          </w:p>
          <w:p>
            <w:pPr>
              <w:jc w:val="center"/>
              <w:rPr>
                <w:rFonts w:hAnsi="仿宋" w:eastAsia="仿宋"/>
              </w:rPr>
            </w:pPr>
            <w:r>
              <w:rPr>
                <w:rFonts w:hAnsi="仿宋" w:eastAsia="仿宋"/>
              </w:rPr>
              <w:t>置</w:t>
            </w:r>
          </w:p>
          <w:p>
            <w:pPr>
              <w:jc w:val="center"/>
              <w:rPr>
                <w:rFonts w:hAnsi="仿宋" w:eastAsia="仿宋"/>
              </w:rPr>
            </w:pPr>
            <w:r>
              <w:rPr>
                <w:rFonts w:hAnsi="仿宋" w:eastAsia="仿宋"/>
              </w:rPr>
              <w:t>步</w:t>
            </w:r>
          </w:p>
          <w:p>
            <w:pPr>
              <w:jc w:val="center"/>
              <w:rPr>
                <w:rFonts w:hAnsi="仿宋" w:eastAsia="仿宋"/>
              </w:rPr>
            </w:pPr>
            <w:r>
              <w:rPr>
                <w:rFonts w:hAnsi="仿宋" w:eastAsia="仿宋"/>
              </w:rPr>
              <w:t>骤</w:t>
            </w:r>
          </w:p>
        </w:tc>
        <w:tc>
          <w:tcPr>
            <w:tcW w:w="7367" w:type="dxa"/>
            <w:noWrap/>
            <w:vAlign w:val="center"/>
          </w:tcPr>
          <w:p>
            <w:pPr>
              <w:rPr>
                <w:rFonts w:hAnsi="仿宋" w:eastAsia="仿宋"/>
              </w:rPr>
            </w:pPr>
            <w:r>
              <w:rPr>
                <w:rFonts w:hAnsi="仿宋" w:eastAsia="仿宋"/>
              </w:rPr>
              <w:t>1.现场第一发现人发现泄露，马上</w:t>
            </w:r>
            <w:r>
              <w:rPr>
                <w:rFonts w:hint="eastAsia" w:hAnsi="仿宋" w:eastAsia="仿宋"/>
              </w:rPr>
              <w:t>上报总</w:t>
            </w:r>
            <w:r>
              <w:rPr>
                <w:rFonts w:hAnsi="仿宋" w:eastAsia="仿宋"/>
              </w:rPr>
              <w:t>经理，立即停止作业；</w:t>
            </w:r>
          </w:p>
          <w:p>
            <w:pPr>
              <w:rPr>
                <w:rFonts w:hAnsi="仿宋" w:eastAsia="仿宋"/>
              </w:rPr>
            </w:pPr>
            <w:r>
              <w:rPr>
                <w:rFonts w:hAnsi="仿宋" w:eastAsia="仿宋"/>
              </w:rPr>
              <w:t>2.</w:t>
            </w:r>
            <w:r>
              <w:rPr>
                <w:rFonts w:hint="eastAsia" w:hAnsi="仿宋" w:eastAsia="仿宋"/>
              </w:rPr>
              <w:t>总</w:t>
            </w:r>
            <w:r>
              <w:rPr>
                <w:rFonts w:hAnsi="仿宋" w:eastAsia="仿宋"/>
              </w:rPr>
              <w:t>经理立马</w:t>
            </w:r>
            <w:r>
              <w:rPr>
                <w:rFonts w:hint="eastAsia" w:hAnsi="仿宋" w:eastAsia="仿宋"/>
              </w:rPr>
              <w:t>联系</w:t>
            </w:r>
            <w:r>
              <w:rPr>
                <w:rFonts w:hAnsi="仿宋" w:eastAsia="仿宋"/>
              </w:rPr>
              <w:t>应急指挥部</w:t>
            </w:r>
            <w:r>
              <w:rPr>
                <w:rFonts w:hint="eastAsia" w:hAnsi="仿宋" w:eastAsia="仿宋"/>
              </w:rPr>
              <w:t>到场</w:t>
            </w:r>
            <w:r>
              <w:rPr>
                <w:rFonts w:hAnsi="仿宋" w:eastAsia="仿宋"/>
              </w:rPr>
              <w:t>；</w:t>
            </w:r>
          </w:p>
          <w:p>
            <w:pPr>
              <w:jc w:val="center"/>
              <w:rPr>
                <w:rFonts w:hAnsi="仿宋" w:eastAsia="仿宋"/>
              </w:rPr>
            </w:pPr>
            <w:r>
              <w:rPr>
                <w:rFonts w:hAnsi="仿宋" w:eastAsia="仿宋"/>
              </w:rPr>
              <w:t>3.若现场进行</w:t>
            </w:r>
            <w:r>
              <w:rPr>
                <w:rFonts w:hint="eastAsia" w:hAnsi="仿宋" w:eastAsia="仿宋"/>
              </w:rPr>
              <w:t>装卸</w:t>
            </w:r>
            <w:r>
              <w:rPr>
                <w:rFonts w:hAnsi="仿宋" w:eastAsia="仿宋"/>
              </w:rPr>
              <w:t>作业，应立即关闭或堵住罐车卸油阀，并将罐车驶离罐区；</w:t>
            </w:r>
          </w:p>
          <w:p>
            <w:pPr>
              <w:rPr>
                <w:rFonts w:hAnsi="仿宋" w:eastAsia="仿宋"/>
              </w:rPr>
            </w:pPr>
            <w:r>
              <w:rPr>
                <w:rFonts w:hAnsi="仿宋" w:eastAsia="仿宋"/>
              </w:rPr>
              <w:t>4.疏散站内人员，并将站内车辆远离</w:t>
            </w:r>
            <w:r>
              <w:rPr>
                <w:rFonts w:hint="eastAsia" w:hAnsi="仿宋" w:eastAsia="仿宋"/>
              </w:rPr>
              <w:t>站区</w:t>
            </w:r>
            <w:r>
              <w:rPr>
                <w:rFonts w:hAnsi="仿宋" w:eastAsia="仿宋"/>
              </w:rPr>
              <w:t>，制止其他车辆和人员进入</w:t>
            </w:r>
            <w:r>
              <w:rPr>
                <w:rFonts w:hint="eastAsia" w:hAnsi="仿宋" w:eastAsia="仿宋"/>
              </w:rPr>
              <w:t>站区</w:t>
            </w:r>
            <w:r>
              <w:rPr>
                <w:rFonts w:hAnsi="仿宋" w:eastAsia="仿宋"/>
              </w:rPr>
              <w:t>；</w:t>
            </w:r>
          </w:p>
          <w:p>
            <w:pPr>
              <w:rPr>
                <w:rFonts w:hAnsi="仿宋" w:eastAsia="仿宋"/>
              </w:rPr>
            </w:pPr>
            <w:r>
              <w:rPr>
                <w:rFonts w:hAnsi="仿宋" w:eastAsia="仿宋"/>
              </w:rPr>
              <w:t>5准备消防器材，排除附近一切火源；</w:t>
            </w:r>
          </w:p>
          <w:p>
            <w:pPr>
              <w:rPr>
                <w:rFonts w:hAnsi="仿宋" w:eastAsia="仿宋"/>
              </w:rPr>
            </w:pPr>
            <w:r>
              <w:rPr>
                <w:rFonts w:hAnsi="仿宋" w:eastAsia="仿宋"/>
              </w:rPr>
              <w:t>6.其他人员在</w:t>
            </w:r>
            <w:r>
              <w:rPr>
                <w:rFonts w:hint="eastAsia" w:hAnsi="仿宋" w:eastAsia="仿宋"/>
              </w:rPr>
              <w:t>泄漏</w:t>
            </w:r>
            <w:r>
              <w:rPr>
                <w:rFonts w:hAnsi="仿宋" w:eastAsia="仿宋"/>
              </w:rPr>
              <w:t>处的上风向布置消防器材，对泄露</w:t>
            </w:r>
            <w:r>
              <w:rPr>
                <w:rFonts w:hint="eastAsia" w:hAnsi="仿宋" w:eastAsia="仿宋"/>
              </w:rPr>
              <w:t>物料</w:t>
            </w:r>
            <w:r>
              <w:rPr>
                <w:rFonts w:hAnsi="仿宋" w:eastAsia="仿宋"/>
              </w:rPr>
              <w:t>现场用沙土围堵，并用不能产生静电的棉纱、毛巾、拖把等进行回收泄露</w:t>
            </w:r>
            <w:r>
              <w:rPr>
                <w:rFonts w:hint="eastAsia" w:hAnsi="仿宋" w:eastAsia="仿宋"/>
              </w:rPr>
              <w:t>物质</w:t>
            </w:r>
            <w:r>
              <w:rPr>
                <w:rFonts w:hAnsi="仿宋" w:eastAsia="仿宋"/>
              </w:rPr>
              <w:t>；</w:t>
            </w:r>
          </w:p>
          <w:p>
            <w:pPr>
              <w:rPr>
                <w:rFonts w:hAnsi="仿宋" w:eastAsia="仿宋"/>
              </w:rPr>
            </w:pPr>
            <w:r>
              <w:rPr>
                <w:rFonts w:hAnsi="仿宋" w:eastAsia="仿宋"/>
              </w:rPr>
              <w:t>7.若果泄露至附近河流等水体，</w:t>
            </w:r>
            <w:r>
              <w:rPr>
                <w:rFonts w:hint="eastAsia" w:hAnsi="仿宋" w:eastAsia="仿宋"/>
              </w:rPr>
              <w:t>企业负责人</w:t>
            </w:r>
            <w:r>
              <w:rPr>
                <w:rFonts w:hAnsi="仿宋" w:eastAsia="仿宋"/>
              </w:rPr>
              <w:t>应报告应急指挥部、镇政府、</w:t>
            </w:r>
            <w:r>
              <w:rPr>
                <w:rFonts w:hint="eastAsia" w:hAnsi="仿宋" w:eastAsia="仿宋"/>
              </w:rPr>
              <w:t>宜昌市生态环境局远安县分局</w:t>
            </w:r>
            <w:r>
              <w:rPr>
                <w:rFonts w:hAnsi="仿宋" w:eastAsia="仿宋"/>
              </w:rPr>
              <w:t>，现场人员尽快做好堵漏，隔离外泄油品，防止外部火源入站，待应急指挥部和有关抢险部门进行泄露油品的回收和处理；</w:t>
            </w:r>
          </w:p>
          <w:p>
            <w:pPr>
              <w:rPr>
                <w:rFonts w:hAnsi="仿宋" w:eastAsia="仿宋"/>
              </w:rPr>
            </w:pPr>
            <w:r>
              <w:rPr>
                <w:rFonts w:hAnsi="仿宋" w:eastAsia="仿宋"/>
              </w:rPr>
              <w:t>8.计量员计量确定跑冒漏油损失，做好记录；</w:t>
            </w:r>
          </w:p>
          <w:p>
            <w:pPr>
              <w:rPr>
                <w:rFonts w:hAnsi="仿宋" w:eastAsia="仿宋"/>
              </w:rPr>
            </w:pPr>
            <w:r>
              <w:rPr>
                <w:rFonts w:hAnsi="仿宋" w:eastAsia="仿宋"/>
              </w:rPr>
              <w:t>9.</w:t>
            </w:r>
            <w:r>
              <w:rPr>
                <w:rFonts w:hint="eastAsia" w:hAnsi="仿宋" w:eastAsia="仿宋"/>
              </w:rPr>
              <w:t>企业负责人</w:t>
            </w:r>
            <w:r>
              <w:rPr>
                <w:rFonts w:hAnsi="仿宋" w:eastAsia="仿宋"/>
              </w:rPr>
              <w:t>对现场进行全面检查，确认无其他隐患后，应上级同意后恢复营业；若果事故较大，保持警戒，等待上级公司处理。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51" w:type="dxa"/>
            <w:noWrap/>
            <w:vAlign w:val="center"/>
          </w:tcPr>
          <w:p>
            <w:pPr>
              <w:jc w:val="center"/>
              <w:rPr>
                <w:rFonts w:hAnsi="仿宋" w:eastAsia="仿宋"/>
              </w:rPr>
            </w:pPr>
            <w:r>
              <w:rPr>
                <w:rFonts w:hAnsi="仿宋" w:eastAsia="仿宋"/>
              </w:rPr>
              <w:t>应急处置注意事项</w:t>
            </w:r>
          </w:p>
        </w:tc>
        <w:tc>
          <w:tcPr>
            <w:tcW w:w="7367" w:type="dxa"/>
            <w:noWrap/>
            <w:vAlign w:val="center"/>
          </w:tcPr>
          <w:p>
            <w:pPr>
              <w:rPr>
                <w:rFonts w:hAnsi="仿宋" w:eastAsia="仿宋"/>
              </w:rPr>
            </w:pPr>
            <w:r>
              <w:rPr>
                <w:rFonts w:hint="eastAsia" w:hAnsi="仿宋" w:eastAsia="仿宋"/>
              </w:rPr>
              <w:t>如为小量泄漏，最早发现者应立即使用黄砂覆盖并用堵漏材料进行堵漏，并将装置内剩余物料迅速转移至其他装置内，事故处理结束后将沙土运至有资质单位处理；</w:t>
            </w:r>
          </w:p>
          <w:p>
            <w:pPr>
              <w:rPr>
                <w:rFonts w:hAnsi="仿宋" w:eastAsia="仿宋"/>
              </w:rPr>
            </w:pPr>
            <w:r>
              <w:rPr>
                <w:rFonts w:hint="eastAsia" w:hAnsi="仿宋" w:eastAsia="仿宋"/>
              </w:rPr>
              <w:t>若发生大量泄漏：构筑围堤或收集至收集池，用防爆泵转移至槽车或专用收集器内，回收或运至废物处理场所处置。最早发现者应立即通知总指挥及值班领导报110，报告化学危险物料外泄部位(或装置)，并根据召集应急救援小组，及时采取一切办法控制泄漏蔓延，并根据远安县的预案分级汇报。</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918" w:type="dxa"/>
            <w:gridSpan w:val="2"/>
            <w:noWrap/>
            <w:vAlign w:val="center"/>
          </w:tcPr>
          <w:p>
            <w:pPr>
              <w:jc w:val="center"/>
              <w:rPr>
                <w:rFonts w:hAnsi="仿宋" w:eastAsia="仿宋"/>
              </w:rPr>
            </w:pPr>
            <w:r>
              <w:rPr>
                <w:rFonts w:hAnsi="仿宋" w:eastAsia="仿宋"/>
              </w:rPr>
              <w:t>应急联系</w:t>
            </w:r>
            <w:r>
              <w:rPr>
                <w:rFonts w:hint="eastAsia" w:hAnsi="仿宋" w:eastAsia="仿宋"/>
              </w:rPr>
              <w:t>：0717-</w:t>
            </w:r>
            <w:r>
              <w:rPr>
                <w:rFonts w:hint="eastAsia" w:eastAsia="仿宋"/>
              </w:rPr>
              <w:t>3100158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51" w:type="dxa"/>
            <w:noWrap/>
            <w:vAlign w:val="center"/>
          </w:tcPr>
          <w:p>
            <w:pPr>
              <w:jc w:val="center"/>
              <w:rPr>
                <w:rFonts w:hAnsi="仿宋" w:eastAsia="仿宋"/>
              </w:rPr>
            </w:pPr>
            <w:r>
              <w:rPr>
                <w:rFonts w:hAnsi="仿宋" w:eastAsia="仿宋"/>
              </w:rPr>
              <w:t>内部</w:t>
            </w:r>
          </w:p>
        </w:tc>
        <w:tc>
          <w:tcPr>
            <w:tcW w:w="7367" w:type="dxa"/>
            <w:noWrap/>
            <w:vAlign w:val="center"/>
          </w:tcPr>
          <w:p>
            <w:pPr>
              <w:jc w:val="center"/>
              <w:rPr>
                <w:rFonts w:hAnsi="仿宋" w:eastAsia="仿宋"/>
              </w:rPr>
            </w:pPr>
            <w:r>
              <w:rPr>
                <w:rFonts w:hint="eastAsia" w:hAnsi="仿宋" w:eastAsia="仿宋"/>
              </w:rPr>
              <w:t>公司全员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551" w:type="dxa"/>
            <w:noWrap/>
            <w:vAlign w:val="center"/>
          </w:tcPr>
          <w:p>
            <w:pPr>
              <w:jc w:val="center"/>
              <w:rPr>
                <w:rFonts w:hAnsi="仿宋" w:eastAsia="仿宋"/>
              </w:rPr>
            </w:pPr>
            <w:r>
              <w:rPr>
                <w:rFonts w:hAnsi="仿宋" w:eastAsia="仿宋"/>
              </w:rPr>
              <w:t>外部</w:t>
            </w:r>
          </w:p>
        </w:tc>
        <w:tc>
          <w:tcPr>
            <w:tcW w:w="7367" w:type="dxa"/>
            <w:noWrap/>
            <w:vAlign w:val="center"/>
          </w:tcPr>
          <w:p>
            <w:pPr>
              <w:jc w:val="center"/>
              <w:rPr>
                <w:rFonts w:hAnsi="仿宋" w:eastAsia="仿宋"/>
              </w:rPr>
            </w:pPr>
            <w:r>
              <w:rPr>
                <w:rFonts w:hAnsi="仿宋" w:eastAsia="仿宋"/>
              </w:rPr>
              <w:t>火警：119</w:t>
            </w:r>
          </w:p>
          <w:p>
            <w:pPr>
              <w:jc w:val="center"/>
              <w:rPr>
                <w:rFonts w:hAnsi="仿宋" w:eastAsia="仿宋"/>
              </w:rPr>
            </w:pPr>
            <w:r>
              <w:rPr>
                <w:rFonts w:hAnsi="仿宋" w:eastAsia="仿宋"/>
              </w:rPr>
              <w:t>公安：110</w:t>
            </w:r>
          </w:p>
        </w:tc>
      </w:tr>
    </w:tbl>
    <w:p>
      <w:pPr>
        <w:pStyle w:val="19"/>
        <w:rPr>
          <w:rFonts w:ascii="宋体" w:hAnsi="宋体"/>
          <w:b/>
          <w:sz w:val="28"/>
          <w:szCs w:val="28"/>
        </w:rPr>
      </w:pPr>
    </w:p>
    <w:p>
      <w:pPr>
        <w:pStyle w:val="66"/>
        <w:spacing w:line="240" w:lineRule="auto"/>
        <w:ind w:firstLine="0" w:firstLineChars="0"/>
        <w:rPr>
          <w:rFonts w:ascii="宋体" w:hAnsi="宋体"/>
          <w:b/>
          <w:bCs/>
          <w:sz w:val="32"/>
          <w:szCs w:val="28"/>
        </w:rPr>
      </w:pPr>
      <w:r>
        <w:rPr>
          <w:rFonts w:ascii="宋体" w:hAnsi="宋体"/>
          <w:b/>
          <w:kern w:val="2"/>
          <w:szCs w:val="28"/>
        </w:rPr>
        <w:br w:type="page"/>
      </w:r>
      <w:r>
        <w:rPr>
          <w:rFonts w:eastAsia="仿宋"/>
          <w:szCs w:val="28"/>
        </w:rPr>
        <w:t>附件F1</w:t>
      </w:r>
      <w:r>
        <w:rPr>
          <w:rFonts w:hint="eastAsia" w:eastAsia="仿宋"/>
          <w:szCs w:val="28"/>
          <w:lang w:val="en-US" w:eastAsia="zh-CN"/>
        </w:rPr>
        <w:t>7</w:t>
      </w:r>
      <w:r>
        <w:rPr>
          <w:rFonts w:eastAsia="仿宋"/>
          <w:szCs w:val="28"/>
        </w:rPr>
        <w:t>：</w:t>
      </w:r>
      <w:bookmarkStart w:id="165" w:name="_Hlk99741070"/>
      <w:r>
        <w:rPr>
          <w:rFonts w:eastAsia="仿宋"/>
          <w:szCs w:val="28"/>
        </w:rPr>
        <w:t>现场火灾应急处置卡</w:t>
      </w:r>
      <w:bookmarkEnd w:id="165"/>
    </w:p>
    <w:tbl>
      <w:tblPr>
        <w:tblStyle w:val="35"/>
        <w:tblW w:w="0" w:type="auto"/>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944"/>
        <w:gridCol w:w="669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944" w:type="dxa"/>
            <w:noWrap/>
            <w:vAlign w:val="center"/>
          </w:tcPr>
          <w:p>
            <w:pPr>
              <w:jc w:val="center"/>
              <w:rPr>
                <w:rFonts w:hAnsi="仿宋" w:eastAsia="仿宋"/>
              </w:rPr>
            </w:pPr>
            <w:r>
              <w:rPr>
                <w:rFonts w:hAnsi="仿宋" w:eastAsia="仿宋"/>
              </w:rPr>
              <w:t>突发事件描述</w:t>
            </w:r>
          </w:p>
        </w:tc>
        <w:tc>
          <w:tcPr>
            <w:tcW w:w="6690" w:type="dxa"/>
            <w:noWrap/>
            <w:vAlign w:val="center"/>
          </w:tcPr>
          <w:p>
            <w:pPr>
              <w:jc w:val="center"/>
              <w:rPr>
                <w:rFonts w:hAnsi="仿宋" w:eastAsia="仿宋"/>
              </w:rPr>
            </w:pPr>
            <w:r>
              <w:rPr>
                <w:rFonts w:hint="eastAsia" w:hAnsi="仿宋" w:eastAsia="仿宋"/>
              </w:rPr>
              <w:t>动用明火、电器老化、易燃品高温下暴晒等</w:t>
            </w:r>
            <w:r>
              <w:rPr>
                <w:rFonts w:hAnsi="仿宋" w:eastAsia="仿宋"/>
              </w:rPr>
              <w:t>发生火灾</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944" w:type="dxa"/>
            <w:noWrap/>
            <w:vAlign w:val="center"/>
          </w:tcPr>
          <w:p>
            <w:pPr>
              <w:jc w:val="center"/>
              <w:rPr>
                <w:rFonts w:hAnsi="仿宋" w:eastAsia="仿宋"/>
              </w:rPr>
            </w:pPr>
            <w:r>
              <w:rPr>
                <w:rFonts w:hAnsi="仿宋" w:eastAsia="仿宋"/>
              </w:rPr>
              <w:t>危害及后果</w:t>
            </w:r>
          </w:p>
        </w:tc>
        <w:tc>
          <w:tcPr>
            <w:tcW w:w="6690" w:type="dxa"/>
            <w:noWrap/>
            <w:vAlign w:val="center"/>
          </w:tcPr>
          <w:p>
            <w:pPr>
              <w:jc w:val="center"/>
              <w:rPr>
                <w:rFonts w:hAnsi="仿宋" w:eastAsia="仿宋"/>
              </w:rPr>
            </w:pPr>
            <w:r>
              <w:rPr>
                <w:rFonts w:hAnsi="仿宋" w:eastAsia="仿宋"/>
              </w:rPr>
              <w:t>产生明火，可能造成次生事故，设备损坏，人员伤亡，财产损失</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944" w:type="dxa"/>
            <w:noWrap/>
            <w:vAlign w:val="center"/>
          </w:tcPr>
          <w:p>
            <w:pPr>
              <w:jc w:val="center"/>
              <w:rPr>
                <w:rFonts w:hAnsi="仿宋" w:eastAsia="仿宋"/>
              </w:rPr>
            </w:pPr>
            <w:r>
              <w:rPr>
                <w:rFonts w:hAnsi="仿宋" w:eastAsia="仿宋"/>
              </w:rPr>
              <w:t>应急物资</w:t>
            </w:r>
          </w:p>
        </w:tc>
        <w:tc>
          <w:tcPr>
            <w:tcW w:w="6690" w:type="dxa"/>
            <w:noWrap/>
            <w:vAlign w:val="center"/>
          </w:tcPr>
          <w:p>
            <w:pPr>
              <w:jc w:val="center"/>
              <w:rPr>
                <w:rFonts w:hAnsi="仿宋" w:eastAsia="仿宋"/>
              </w:rPr>
            </w:pPr>
            <w:r>
              <w:rPr>
                <w:rFonts w:hAnsi="仿宋" w:eastAsia="仿宋"/>
              </w:rPr>
              <w:t>干粉灭火器、消防沙、灭火毯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944" w:type="dxa"/>
            <w:noWrap/>
            <w:vAlign w:val="center"/>
          </w:tcPr>
          <w:p>
            <w:pPr>
              <w:jc w:val="center"/>
              <w:rPr>
                <w:rFonts w:hAnsi="仿宋" w:eastAsia="仿宋"/>
              </w:rPr>
            </w:pPr>
            <w:r>
              <w:rPr>
                <w:rFonts w:hAnsi="仿宋" w:eastAsia="仿宋"/>
              </w:rPr>
              <w:t>处</w:t>
            </w:r>
          </w:p>
          <w:p>
            <w:pPr>
              <w:jc w:val="center"/>
              <w:rPr>
                <w:rFonts w:hAnsi="仿宋" w:eastAsia="仿宋"/>
              </w:rPr>
            </w:pPr>
            <w:r>
              <w:rPr>
                <w:rFonts w:hAnsi="仿宋" w:eastAsia="仿宋"/>
              </w:rPr>
              <w:t>置</w:t>
            </w:r>
          </w:p>
          <w:p>
            <w:pPr>
              <w:jc w:val="center"/>
              <w:rPr>
                <w:rFonts w:hAnsi="仿宋" w:eastAsia="仿宋"/>
              </w:rPr>
            </w:pPr>
            <w:r>
              <w:rPr>
                <w:rFonts w:hAnsi="仿宋" w:eastAsia="仿宋"/>
              </w:rPr>
              <w:t>步</w:t>
            </w:r>
          </w:p>
          <w:p>
            <w:pPr>
              <w:jc w:val="center"/>
              <w:rPr>
                <w:rFonts w:hAnsi="仿宋" w:eastAsia="仿宋"/>
              </w:rPr>
            </w:pPr>
            <w:r>
              <w:rPr>
                <w:rFonts w:hAnsi="仿宋" w:eastAsia="仿宋"/>
              </w:rPr>
              <w:t>骤</w:t>
            </w:r>
          </w:p>
        </w:tc>
        <w:tc>
          <w:tcPr>
            <w:tcW w:w="6690" w:type="dxa"/>
            <w:noWrap/>
            <w:vAlign w:val="center"/>
          </w:tcPr>
          <w:p>
            <w:pPr>
              <w:rPr>
                <w:rFonts w:hAnsi="仿宋" w:eastAsia="仿宋"/>
              </w:rPr>
            </w:pPr>
            <w:r>
              <w:rPr>
                <w:rFonts w:hAnsi="仿宋" w:eastAsia="仿宋"/>
              </w:rPr>
              <w:t>1.现场第一人发现人用喊话或电子报警器方式向全站报警，应立即停止作业，迅速使用附近灭火器实施扑救，无关人员实施现场警戒，疏散无关人员；</w:t>
            </w:r>
          </w:p>
          <w:p>
            <w:pPr>
              <w:rPr>
                <w:rFonts w:hAnsi="仿宋" w:eastAsia="仿宋"/>
              </w:rPr>
            </w:pPr>
            <w:r>
              <w:rPr>
                <w:rFonts w:hAnsi="仿宋" w:eastAsia="仿宋"/>
              </w:rPr>
              <w:t>2.值班经理切断电源，其他员工使用灭火器、消防沙、灭火毯进行扑救；</w:t>
            </w:r>
          </w:p>
          <w:p>
            <w:pPr>
              <w:rPr>
                <w:rFonts w:hAnsi="仿宋" w:eastAsia="仿宋"/>
              </w:rPr>
            </w:pPr>
            <w:r>
              <w:rPr>
                <w:rFonts w:hAnsi="仿宋" w:eastAsia="仿宋"/>
              </w:rPr>
              <w:t>3.人体着火时，着火人员大喊“着火了”，并立刻躺下进行翻滚压熄火焰，或脱掉衣服，其他员工停止作业，灭火器帮助灭火（注意不要喷射头部），或用灭火毯、湿布等覆盖灭火，必要时，拨打120；</w:t>
            </w:r>
          </w:p>
          <w:p>
            <w:pPr>
              <w:rPr>
                <w:rFonts w:hAnsi="仿宋" w:eastAsia="仿宋"/>
              </w:rPr>
            </w:pPr>
            <w:r>
              <w:rPr>
                <w:rFonts w:hAnsi="仿宋" w:eastAsia="仿宋"/>
              </w:rPr>
              <w:t>4.</w:t>
            </w:r>
            <w:r>
              <w:rPr>
                <w:rFonts w:hint="eastAsia" w:hAnsi="仿宋" w:eastAsia="仿宋"/>
              </w:rPr>
              <w:t>事故发生后，立即采取措施，采用二氧化碳灭火剂或消防沙灭火。同时在可能发生火灾的区域设置阻火设施，减少连环爆炸发生。并切断泄漏源，防止进入下水道等限制性空间。同时由医院后勤保障组进行监测，并配合环保部门进行应急监测。</w:t>
            </w:r>
          </w:p>
          <w:p>
            <w:pPr>
              <w:rPr>
                <w:rFonts w:hAnsi="仿宋" w:eastAsia="仿宋"/>
              </w:rPr>
            </w:pPr>
            <w:r>
              <w:rPr>
                <w:rFonts w:hAnsi="仿宋" w:eastAsia="仿宋"/>
              </w:rPr>
              <w:t>5.</w:t>
            </w:r>
            <w:r>
              <w:rPr>
                <w:rFonts w:hint="eastAsia" w:hAnsi="仿宋" w:eastAsia="仿宋"/>
              </w:rPr>
              <w:t>通知消防单位，立即切断火源，最大程度上避免火势蔓延到其他装置，避免发生连环爆炸，减少对环境的冲击。</w:t>
            </w:r>
          </w:p>
          <w:p>
            <w:pPr>
              <w:rPr>
                <w:rFonts w:hAnsi="仿宋" w:eastAsia="仿宋"/>
              </w:rPr>
            </w:pPr>
            <w:r>
              <w:rPr>
                <w:rFonts w:hint="eastAsia" w:hAnsi="仿宋" w:eastAsia="仿宋"/>
              </w:rPr>
              <w:t>（3）应急处理人员佩戴自给式呼吸器，穿消防防护服。</w:t>
            </w:r>
          </w:p>
          <w:p>
            <w:pPr>
              <w:rPr>
                <w:rFonts w:hAnsi="仿宋" w:eastAsia="仿宋"/>
              </w:rPr>
            </w:pPr>
            <w:r>
              <w:rPr>
                <w:rFonts w:hint="eastAsia" w:hAnsi="仿宋" w:eastAsia="仿宋"/>
              </w:rPr>
              <w:t>（4）对皮肤接触人员应脱去被污染的衣物，用肥皂水或清水彻底冲洗皮肤；眼睛接触人员应提起眼脸，用流动清水或生理盐水冲洗就医；吸入人员迅速脱离现场至空气新鲜处，保持呼吸道通畅。</w:t>
            </w:r>
          </w:p>
          <w:p>
            <w:pPr>
              <w:rPr>
                <w:rFonts w:hAnsi="仿宋" w:eastAsia="仿宋"/>
              </w:rPr>
            </w:pPr>
            <w:r>
              <w:rPr>
                <w:rFonts w:hint="eastAsia" w:hAnsi="仿宋" w:eastAsia="仿宋"/>
              </w:rPr>
              <w:t>（5）事故发生后应立即通知宜昌市生态环境局伍家岗区分局、自来水公司、消防队等市政部门，协同事故救援与监控，最大限度地减轻事故对环境的危害。</w:t>
            </w:r>
          </w:p>
          <w:p>
            <w:pPr>
              <w:rPr>
                <w:rFonts w:hAnsi="仿宋" w:eastAsia="仿宋"/>
              </w:rPr>
            </w:pPr>
            <w:r>
              <w:rPr>
                <w:rFonts w:hint="eastAsia" w:hAnsi="仿宋" w:eastAsia="仿宋"/>
              </w:rPr>
              <w:t>（6）建立专门的风险管理机构，负责制定、落实安全生产规章制度，并负责自然灾害预防、意外事故应急及员工风险教育。</w:t>
            </w:r>
          </w:p>
          <w:p>
            <w:pPr>
              <w:rPr>
                <w:rFonts w:hAnsi="仿宋" w:eastAsia="仿宋"/>
              </w:rPr>
            </w:pPr>
            <w:r>
              <w:rPr>
                <w:rFonts w:hint="eastAsia" w:hAnsi="仿宋" w:eastAsia="仿宋"/>
              </w:rPr>
              <w:t>（7）建立风险防范制度。包括风险预防制度（生产安全制度、财务安全制度）、风险控制制度（各种灾害事故应急预案）、风险转移制度（规定某些事项必须办理风险转移，包括保险转移和非保险转移）等。</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944" w:type="dxa"/>
            <w:noWrap/>
            <w:vAlign w:val="center"/>
          </w:tcPr>
          <w:p>
            <w:pPr>
              <w:jc w:val="center"/>
              <w:rPr>
                <w:rFonts w:hAnsi="仿宋" w:eastAsia="仿宋"/>
              </w:rPr>
            </w:pPr>
            <w:r>
              <w:rPr>
                <w:rFonts w:hAnsi="仿宋" w:eastAsia="仿宋"/>
              </w:rPr>
              <w:t>应急处置注意事项</w:t>
            </w:r>
          </w:p>
        </w:tc>
        <w:tc>
          <w:tcPr>
            <w:tcW w:w="6690" w:type="dxa"/>
            <w:noWrap/>
            <w:vAlign w:val="center"/>
          </w:tcPr>
          <w:p>
            <w:pPr>
              <w:rPr>
                <w:rFonts w:hAnsi="仿宋" w:eastAsia="仿宋"/>
              </w:rPr>
            </w:pPr>
            <w:r>
              <w:rPr>
                <w:rFonts w:hAnsi="仿宋" w:eastAsia="仿宋"/>
              </w:rPr>
              <w:t>1.现场火灾处置原则是先断电，后处置；</w:t>
            </w:r>
          </w:p>
          <w:p>
            <w:pPr>
              <w:rPr>
                <w:rFonts w:hAnsi="仿宋" w:eastAsia="仿宋"/>
              </w:rPr>
            </w:pPr>
            <w:r>
              <w:rPr>
                <w:rFonts w:hAnsi="仿宋" w:eastAsia="仿宋"/>
              </w:rPr>
              <w:t>2.扑救现场火灾时，应利用就进灭火器对准火焰部位实施扑救，切勿用水扑救。</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634" w:type="dxa"/>
            <w:gridSpan w:val="2"/>
            <w:noWrap/>
            <w:vAlign w:val="center"/>
          </w:tcPr>
          <w:p>
            <w:pPr>
              <w:jc w:val="center"/>
              <w:rPr>
                <w:rFonts w:hAnsi="仿宋" w:eastAsia="仿宋"/>
              </w:rPr>
            </w:pPr>
            <w:r>
              <w:rPr>
                <w:rFonts w:hAnsi="仿宋" w:eastAsia="仿宋"/>
              </w:rPr>
              <w:t>应急联系</w:t>
            </w:r>
            <w:r>
              <w:rPr>
                <w:rFonts w:hint="eastAsia" w:hAnsi="仿宋" w:eastAsia="仿宋"/>
              </w:rPr>
              <w:t>：0717-</w:t>
            </w:r>
            <w:r>
              <w:rPr>
                <w:rFonts w:hint="eastAsia" w:eastAsia="仿宋"/>
              </w:rPr>
              <w:t>3100158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944" w:type="dxa"/>
            <w:noWrap/>
            <w:vAlign w:val="center"/>
          </w:tcPr>
          <w:p>
            <w:pPr>
              <w:jc w:val="center"/>
              <w:rPr>
                <w:rFonts w:hAnsi="仿宋" w:eastAsia="仿宋"/>
              </w:rPr>
            </w:pPr>
            <w:r>
              <w:rPr>
                <w:rFonts w:hAnsi="仿宋" w:eastAsia="仿宋"/>
              </w:rPr>
              <w:t>内部</w:t>
            </w:r>
          </w:p>
        </w:tc>
        <w:tc>
          <w:tcPr>
            <w:tcW w:w="6690" w:type="dxa"/>
            <w:noWrap/>
            <w:vAlign w:val="center"/>
          </w:tcPr>
          <w:p>
            <w:pPr>
              <w:jc w:val="center"/>
              <w:rPr>
                <w:rFonts w:hAnsi="仿宋" w:eastAsia="仿宋"/>
              </w:rPr>
            </w:pPr>
            <w:r>
              <w:rPr>
                <w:rFonts w:hint="eastAsia" w:hAnsi="仿宋" w:eastAsia="仿宋"/>
              </w:rPr>
              <w:t>公司全员</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944" w:type="dxa"/>
            <w:noWrap/>
            <w:vAlign w:val="center"/>
          </w:tcPr>
          <w:p>
            <w:pPr>
              <w:jc w:val="center"/>
              <w:rPr>
                <w:rFonts w:hAnsi="仿宋" w:eastAsia="仿宋"/>
              </w:rPr>
            </w:pPr>
            <w:r>
              <w:rPr>
                <w:rFonts w:hAnsi="仿宋" w:eastAsia="仿宋"/>
              </w:rPr>
              <w:t>外部</w:t>
            </w:r>
          </w:p>
        </w:tc>
        <w:tc>
          <w:tcPr>
            <w:tcW w:w="6690" w:type="dxa"/>
            <w:noWrap/>
            <w:vAlign w:val="center"/>
          </w:tcPr>
          <w:p>
            <w:pPr>
              <w:jc w:val="center"/>
              <w:rPr>
                <w:rFonts w:hAnsi="仿宋" w:eastAsia="仿宋"/>
              </w:rPr>
            </w:pPr>
            <w:r>
              <w:rPr>
                <w:rFonts w:hAnsi="仿宋" w:eastAsia="仿宋"/>
              </w:rPr>
              <w:t>火警：119</w:t>
            </w:r>
          </w:p>
          <w:p>
            <w:pPr>
              <w:jc w:val="center"/>
              <w:rPr>
                <w:rFonts w:hAnsi="仿宋" w:eastAsia="仿宋"/>
              </w:rPr>
            </w:pPr>
            <w:r>
              <w:rPr>
                <w:rFonts w:hAnsi="仿宋" w:eastAsia="仿宋"/>
              </w:rPr>
              <w:t>公安：110</w:t>
            </w:r>
          </w:p>
        </w:tc>
      </w:tr>
    </w:tbl>
    <w:p>
      <w:pPr>
        <w:pStyle w:val="131"/>
        <w:jc w:val="center"/>
        <w:rPr>
          <w:rFonts w:hAnsi="宋体" w:cs="Times New Roman"/>
          <w:color w:val="auto"/>
          <w:sz w:val="21"/>
        </w:rPr>
      </w:pPr>
    </w:p>
    <w:p>
      <w:pPr>
        <w:pStyle w:val="66"/>
        <w:spacing w:line="240" w:lineRule="auto"/>
        <w:ind w:firstLine="0" w:firstLineChars="0"/>
        <w:rPr>
          <w:rFonts w:ascii="宋体" w:hAnsi="宋体" w:eastAsia="宋体"/>
          <w:b/>
          <w:szCs w:val="28"/>
        </w:rPr>
        <w:sectPr>
          <w:pgSz w:w="11907" w:h="16840"/>
          <w:pgMar w:top="1418" w:right="1469" w:bottom="1701" w:left="1695" w:header="851" w:footer="992" w:gutter="0"/>
          <w:pgBorders>
            <w:top w:val="none" w:sz="0" w:space="0"/>
            <w:left w:val="none" w:sz="0" w:space="0"/>
            <w:bottom w:val="none" w:sz="0" w:space="0"/>
            <w:right w:val="none" w:sz="0" w:space="0"/>
          </w:pgBorders>
          <w:cols w:space="720" w:num="1"/>
          <w:docGrid w:linePitch="312" w:charSpace="0"/>
        </w:sectPr>
      </w:pPr>
    </w:p>
    <w:p>
      <w:pPr>
        <w:pStyle w:val="66"/>
        <w:spacing w:line="240" w:lineRule="auto"/>
        <w:ind w:firstLine="0" w:firstLineChars="0"/>
        <w:rPr>
          <w:rFonts w:hint="eastAsia" w:eastAsia="仿宋"/>
          <w:color w:val="FF0000"/>
          <w:szCs w:val="28"/>
        </w:rPr>
      </w:pPr>
      <w:r>
        <w:rPr>
          <w:rFonts w:eastAsia="仿宋"/>
          <w:color w:val="FF0000"/>
          <w:szCs w:val="28"/>
        </w:rPr>
        <w:t>附件F1</w:t>
      </w:r>
      <w:r>
        <w:rPr>
          <w:rFonts w:hint="eastAsia" w:eastAsia="仿宋"/>
          <w:color w:val="FF0000"/>
          <w:szCs w:val="28"/>
          <w:lang w:val="en-US" w:eastAsia="zh-CN"/>
        </w:rPr>
        <w:t>8</w:t>
      </w:r>
      <w:r>
        <w:rPr>
          <w:rFonts w:eastAsia="仿宋"/>
          <w:color w:val="FF0000"/>
          <w:szCs w:val="28"/>
        </w:rPr>
        <w:t>：</w:t>
      </w:r>
      <w:r>
        <w:rPr>
          <w:rFonts w:hint="eastAsia" w:eastAsia="仿宋"/>
          <w:color w:val="FF0000"/>
          <w:szCs w:val="28"/>
        </w:rPr>
        <w:t>湖北航欧新材料科技有限公司</w:t>
      </w:r>
      <w:r>
        <w:rPr>
          <w:rFonts w:hint="eastAsia" w:eastAsia="仿宋"/>
          <w:color w:val="FF0000"/>
          <w:szCs w:val="28"/>
          <w:lang w:eastAsia="zh-CN"/>
        </w:rPr>
        <w:t>各</w:t>
      </w:r>
      <w:r>
        <w:rPr>
          <w:rFonts w:hint="eastAsia" w:eastAsia="仿宋"/>
          <w:color w:val="FF0000"/>
          <w:szCs w:val="28"/>
        </w:rPr>
        <w:t>岗位应急处置卡</w:t>
      </w:r>
    </w:p>
    <w:p>
      <w:pPr>
        <w:pStyle w:val="95"/>
        <w:keepNext w:val="0"/>
        <w:keepLines w:val="0"/>
        <w:pageBreakBefore w:val="0"/>
        <w:widowControl w:val="0"/>
        <w:kinsoku/>
        <w:wordWrap/>
        <w:overflowPunct/>
        <w:topLinePunct w:val="0"/>
        <w:autoSpaceDE/>
        <w:autoSpaceDN/>
        <w:bidi w:val="0"/>
        <w:adjustRightInd/>
        <w:snapToGrid/>
        <w:spacing w:line="520" w:lineRule="exact"/>
        <w:ind w:firstLine="0" w:firstLineChars="0"/>
        <w:jc w:val="center"/>
        <w:textAlignment w:val="auto"/>
        <w:rPr>
          <w:rFonts w:hint="eastAsia" w:eastAsia="仿宋"/>
          <w:color w:val="FF0000"/>
          <w:szCs w:val="28"/>
          <w:lang w:eastAsia="zh-CN"/>
        </w:rPr>
      </w:pPr>
      <w:r>
        <w:rPr>
          <w:rFonts w:hint="eastAsia" w:eastAsia="仿宋"/>
          <w:color w:val="FF0000"/>
          <w:szCs w:val="28"/>
          <w:lang w:eastAsia="zh-CN"/>
        </w:rPr>
        <w:t>一、液氯汽化岗位</w:t>
      </w:r>
    </w:p>
    <w:tbl>
      <w:tblPr>
        <w:tblStyle w:val="3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5"/>
        <w:gridCol w:w="821"/>
        <w:gridCol w:w="1701"/>
        <w:gridCol w:w="489"/>
        <w:gridCol w:w="1445"/>
        <w:gridCol w:w="407"/>
        <w:gridCol w:w="29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部门</w:t>
            </w:r>
          </w:p>
        </w:tc>
        <w:tc>
          <w:tcPr>
            <w:tcW w:w="1680" w:type="pct"/>
            <w:gridSpan w:val="3"/>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磷化分厂</w:t>
            </w:r>
          </w:p>
        </w:tc>
        <w:tc>
          <w:tcPr>
            <w:tcW w:w="806"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岗位名称</w:t>
            </w:r>
          </w:p>
        </w:tc>
        <w:tc>
          <w:tcPr>
            <w:tcW w:w="1895" w:type="pct"/>
            <w:gridSpan w:val="2"/>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液氯汽化岗位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序号</w:t>
            </w:r>
          </w:p>
        </w:tc>
        <w:tc>
          <w:tcPr>
            <w:tcW w:w="4382" w:type="pct"/>
            <w:gridSpan w:val="6"/>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岗位应急处置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w:t>
            </w:r>
          </w:p>
        </w:tc>
        <w:tc>
          <w:tcPr>
            <w:tcW w:w="4382" w:type="pct"/>
            <w:gridSpan w:val="6"/>
            <w:vAlign w:val="center"/>
          </w:tcPr>
          <w:p>
            <w:pPr>
              <w:spacing w:line="220" w:lineRule="atLeast"/>
              <w:jc w:val="both"/>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超温、超压：</w:t>
            </w:r>
            <w:r>
              <w:rPr>
                <w:rFonts w:hint="default" w:ascii="Times New Roman" w:hAnsi="Times New Roman" w:eastAsia="仿宋" w:cs="Times New Roman"/>
                <w:color w:val="FF0000"/>
                <w:sz w:val="21"/>
                <w:szCs w:val="21"/>
              </w:rPr>
              <w:t>立即关闭</w:t>
            </w:r>
            <w:r>
              <w:rPr>
                <w:rFonts w:hint="default" w:ascii="Times New Roman" w:hAnsi="Times New Roman" w:eastAsia="仿宋" w:cs="Times New Roman"/>
                <w:color w:val="FF0000"/>
                <w:sz w:val="21"/>
                <w:szCs w:val="21"/>
                <w:lang w:val="en-US" w:eastAsia="zh-CN"/>
              </w:rPr>
              <w:t>汽化器进液氯阀门，</w:t>
            </w:r>
            <w:r>
              <w:rPr>
                <w:rFonts w:hint="default" w:ascii="Times New Roman" w:hAnsi="Times New Roman" w:eastAsia="仿宋" w:cs="Times New Roman"/>
                <w:color w:val="FF0000"/>
                <w:sz w:val="21"/>
                <w:szCs w:val="21"/>
              </w:rPr>
              <w:t>停热水</w:t>
            </w:r>
            <w:r>
              <w:rPr>
                <w:rFonts w:hint="default" w:ascii="Times New Roman" w:hAnsi="Times New Roman" w:eastAsia="仿宋" w:cs="Times New Roman"/>
                <w:color w:val="FF0000"/>
                <w:sz w:val="21"/>
                <w:szCs w:val="21"/>
                <w:lang w:val="en-US" w:eastAsia="zh-CN"/>
              </w:rPr>
              <w:t>泵，关闭</w:t>
            </w:r>
            <w:r>
              <w:rPr>
                <w:rFonts w:hint="default" w:ascii="Times New Roman" w:hAnsi="Times New Roman" w:eastAsia="仿宋" w:cs="Times New Roman"/>
                <w:color w:val="FF0000"/>
                <w:sz w:val="21"/>
                <w:szCs w:val="21"/>
              </w:rPr>
              <w:t>汽化器进热水阀门，启动尾气系统泄压处理</w:t>
            </w:r>
            <w:r>
              <w:rPr>
                <w:rFonts w:hint="default" w:ascii="Times New Roman" w:hAnsi="Times New Roman" w:eastAsia="仿宋" w:cs="Times New Roman"/>
                <w:color w:val="FF0000"/>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2</w:t>
            </w:r>
          </w:p>
        </w:tc>
        <w:tc>
          <w:tcPr>
            <w:tcW w:w="4382" w:type="pct"/>
            <w:gridSpan w:val="6"/>
            <w:vAlign w:val="center"/>
          </w:tcPr>
          <w:p>
            <w:pPr>
              <w:spacing w:line="220" w:lineRule="atLeast"/>
              <w:jc w:val="both"/>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停电：</w:t>
            </w:r>
            <w:r>
              <w:rPr>
                <w:rFonts w:hint="default" w:ascii="Times New Roman" w:hAnsi="Times New Roman" w:eastAsia="仿宋" w:cs="Times New Roman"/>
                <w:color w:val="FF0000"/>
                <w:sz w:val="21"/>
                <w:szCs w:val="21"/>
              </w:rPr>
              <w:t>立即关闭汽化器进液氯阀门，关闭汽化器进热水阀门。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lang w:eastAsia="zh-CN"/>
              </w:rPr>
            </w:pPr>
            <w:r>
              <w:rPr>
                <w:rFonts w:hint="default" w:ascii="Times New Roman" w:hAnsi="Times New Roman" w:eastAsia="仿宋" w:cs="Times New Roman"/>
                <w:color w:val="FF0000"/>
                <w:sz w:val="21"/>
                <w:szCs w:val="21"/>
                <w:lang w:val="en-US" w:eastAsia="zh-CN"/>
              </w:rPr>
              <w:t>3</w:t>
            </w:r>
          </w:p>
        </w:tc>
        <w:tc>
          <w:tcPr>
            <w:tcW w:w="4382" w:type="pct"/>
            <w:gridSpan w:val="6"/>
            <w:vAlign w:val="center"/>
          </w:tcPr>
          <w:p>
            <w:pPr>
              <w:spacing w:line="220" w:lineRule="atLeast"/>
              <w:jc w:val="both"/>
              <w:rPr>
                <w:rFonts w:hint="default" w:ascii="Times New Roman" w:hAnsi="Times New Roman" w:eastAsia="仿宋" w:cs="Times New Roman"/>
                <w:b/>
                <w:color w:val="FF0000"/>
                <w:sz w:val="21"/>
                <w:szCs w:val="21"/>
                <w:lang w:eastAsia="zh-CN"/>
              </w:rPr>
            </w:pPr>
            <w:r>
              <w:rPr>
                <w:rFonts w:hint="default" w:ascii="Times New Roman" w:hAnsi="Times New Roman" w:eastAsia="仿宋" w:cs="Times New Roman"/>
                <w:b/>
                <w:color w:val="FF0000"/>
                <w:sz w:val="21"/>
                <w:szCs w:val="21"/>
              </w:rPr>
              <w:t>中毒：</w:t>
            </w:r>
            <w:r>
              <w:rPr>
                <w:rFonts w:hint="default" w:ascii="Times New Roman" w:hAnsi="Times New Roman" w:eastAsia="仿宋" w:cs="Times New Roman"/>
                <w:color w:val="FF0000"/>
                <w:sz w:val="21"/>
                <w:szCs w:val="21"/>
              </w:rPr>
              <w:t>立即停止作业，将中毒者转移至安全地带/空气新鲜处；现场急救，联系送医院救治</w:t>
            </w:r>
            <w:r>
              <w:rPr>
                <w:rFonts w:hint="default" w:ascii="Times New Roman" w:hAnsi="Times New Roman" w:eastAsia="仿宋" w:cs="Times New Roman"/>
                <w:color w:val="FF0000"/>
                <w:sz w:val="21"/>
                <w:szCs w:val="21"/>
                <w:lang w:eastAsia="zh-CN"/>
              </w:rPr>
              <w:t>；</w:t>
            </w:r>
            <w:r>
              <w:rPr>
                <w:rFonts w:hint="default" w:ascii="Times New Roman" w:hAnsi="Times New Roman" w:eastAsia="仿宋" w:cs="Times New Roman"/>
                <w:color w:val="FF0000"/>
                <w:sz w:val="21"/>
                <w:szCs w:val="21"/>
              </w:rPr>
              <w:t>报告班组长，通知车间主任，启动应急预案</w:t>
            </w:r>
            <w:r>
              <w:rPr>
                <w:rFonts w:hint="default" w:ascii="Times New Roman" w:hAnsi="Times New Roman" w:eastAsia="仿宋" w:cs="Times New Roman"/>
                <w:color w:val="FF0000"/>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lang w:eastAsia="zh-CN"/>
              </w:rPr>
            </w:pPr>
            <w:r>
              <w:rPr>
                <w:rFonts w:hint="default" w:ascii="Times New Roman" w:hAnsi="Times New Roman" w:eastAsia="仿宋" w:cs="Times New Roman"/>
                <w:color w:val="FF0000"/>
                <w:sz w:val="21"/>
                <w:szCs w:val="21"/>
                <w:lang w:val="en-US" w:eastAsia="zh-CN"/>
              </w:rPr>
              <w:t>4</w:t>
            </w:r>
          </w:p>
        </w:tc>
        <w:tc>
          <w:tcPr>
            <w:tcW w:w="4382" w:type="pct"/>
            <w:gridSpan w:val="6"/>
            <w:vAlign w:val="center"/>
          </w:tcPr>
          <w:p>
            <w:pPr>
              <w:spacing w:line="220" w:lineRule="atLeast"/>
              <w:jc w:val="both"/>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烫伤：</w:t>
            </w:r>
            <w:r>
              <w:rPr>
                <w:rFonts w:hint="default" w:ascii="Times New Roman" w:hAnsi="Times New Roman" w:eastAsia="仿宋" w:cs="Times New Roman"/>
                <w:color w:val="FF0000"/>
                <w:sz w:val="21"/>
                <w:szCs w:val="21"/>
              </w:rPr>
              <w:t>转移</w:t>
            </w:r>
            <w:r>
              <w:rPr>
                <w:rFonts w:hint="default" w:ascii="Times New Roman" w:hAnsi="Times New Roman" w:eastAsia="仿宋" w:cs="Times New Roman"/>
                <w:color w:val="FF0000"/>
                <w:sz w:val="21"/>
                <w:szCs w:val="21"/>
                <w:lang w:val="en-US" w:eastAsia="zh-CN"/>
              </w:rPr>
              <w:t>伤员</w:t>
            </w:r>
            <w:r>
              <w:rPr>
                <w:rFonts w:hint="default" w:ascii="Times New Roman" w:hAnsi="Times New Roman" w:eastAsia="仿宋" w:cs="Times New Roman"/>
                <w:color w:val="FF0000"/>
                <w:sz w:val="21"/>
                <w:szCs w:val="21"/>
              </w:rPr>
              <w:t>至安全地带；用清水清洗降温烫伤部位至少15分钟</w:t>
            </w:r>
            <w:r>
              <w:rPr>
                <w:rFonts w:hint="default" w:ascii="Times New Roman" w:hAnsi="Times New Roman" w:eastAsia="仿宋" w:cs="Times New Roman"/>
                <w:color w:val="FF0000"/>
                <w:sz w:val="21"/>
                <w:szCs w:val="21"/>
                <w:lang w:eastAsia="zh-CN"/>
              </w:rPr>
              <w:t>，</w:t>
            </w:r>
            <w:r>
              <w:rPr>
                <w:rFonts w:hint="default" w:ascii="Times New Roman" w:hAnsi="Times New Roman" w:eastAsia="仿宋" w:cs="Times New Roman"/>
                <w:color w:val="FF0000"/>
                <w:sz w:val="21"/>
                <w:szCs w:val="21"/>
              </w:rPr>
              <w:t>伤情严重者送医进一步治疗</w:t>
            </w:r>
            <w:r>
              <w:rPr>
                <w:rFonts w:hint="default" w:ascii="Times New Roman" w:hAnsi="Times New Roman" w:eastAsia="仿宋" w:cs="Times New Roman"/>
                <w:b w:val="0"/>
                <w:bCs/>
                <w:color w:val="FF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lang w:eastAsia="zh-CN"/>
              </w:rPr>
            </w:pPr>
            <w:r>
              <w:rPr>
                <w:rFonts w:hint="default" w:ascii="Times New Roman" w:hAnsi="Times New Roman" w:eastAsia="仿宋" w:cs="Times New Roman"/>
                <w:color w:val="FF0000"/>
                <w:sz w:val="21"/>
                <w:szCs w:val="21"/>
                <w:lang w:val="en-US" w:eastAsia="zh-CN"/>
              </w:rPr>
              <w:t>5</w:t>
            </w:r>
          </w:p>
        </w:tc>
        <w:tc>
          <w:tcPr>
            <w:tcW w:w="4382" w:type="pct"/>
            <w:gridSpan w:val="6"/>
            <w:vAlign w:val="center"/>
          </w:tcPr>
          <w:p>
            <w:pPr>
              <w:spacing w:line="220" w:lineRule="atLeast"/>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氯气泄露：</w:t>
            </w:r>
            <w:r>
              <w:rPr>
                <w:rFonts w:hint="default" w:ascii="Times New Roman" w:hAnsi="Times New Roman" w:eastAsia="仿宋" w:cs="Times New Roman"/>
                <w:color w:val="FF0000"/>
                <w:sz w:val="21"/>
                <w:szCs w:val="21"/>
              </w:rPr>
              <w:t>微量泄漏，操作人员戴防毒面具用氨水检漏，根据报警点迅速查找泄漏源，并及时将异情报告当班班长，根据现场情况用不同的适用堵漏器材作临时处理，再上报车间检修，确认漏点处理完成，经上级安全、生产部门确认合格后方可启用；大量泄漏，启动应急预案，疏散无关人员。抢险人员双人穿戴好防化服，正压式空气呼吸器，切断泄露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restar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应急联系电话</w:t>
            </w:r>
          </w:p>
        </w:tc>
        <w:tc>
          <w:tcPr>
            <w:tcW w:w="458" w:type="pct"/>
            <w:vMerge w:val="restar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厂内</w:t>
            </w:r>
          </w:p>
        </w:tc>
        <w:tc>
          <w:tcPr>
            <w:tcW w:w="949" w:type="pct"/>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应急中心</w:t>
            </w:r>
          </w:p>
        </w:tc>
        <w:tc>
          <w:tcPr>
            <w:tcW w:w="1306" w:type="pct"/>
            <w:gridSpan w:val="3"/>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技术负责人</w:t>
            </w:r>
          </w:p>
        </w:tc>
        <w:tc>
          <w:tcPr>
            <w:tcW w:w="1667" w:type="pct"/>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部门负责人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bookmarkStart w:id="171" w:name="_GoBack" w:colFirst="2" w:colLast="4"/>
          </w:p>
        </w:tc>
        <w:tc>
          <w:tcPr>
            <w:tcW w:w="458" w:type="pct"/>
            <w:vMerge w:val="continue"/>
            <w:vAlign w:val="center"/>
          </w:tcPr>
          <w:p>
            <w:pPr>
              <w:widowControl/>
              <w:spacing w:line="380" w:lineRule="exact"/>
              <w:jc w:val="center"/>
              <w:rPr>
                <w:rFonts w:hint="default" w:ascii="Times New Roman" w:hAnsi="Times New Roman" w:eastAsia="仿宋" w:cs="Times New Roman"/>
                <w:color w:val="FF0000"/>
                <w:sz w:val="21"/>
                <w:szCs w:val="21"/>
              </w:rPr>
            </w:pPr>
          </w:p>
        </w:tc>
        <w:tc>
          <w:tcPr>
            <w:tcW w:w="949" w:type="pct"/>
            <w:vAlign w:val="center"/>
          </w:tcPr>
          <w:p>
            <w:pPr>
              <w:widowControl/>
              <w:spacing w:line="380" w:lineRule="exact"/>
              <w:jc w:val="center"/>
              <w:rPr>
                <w:rFonts w:hint="default" w:ascii="Times New Roman" w:hAnsi="Times New Roman" w:eastAsia="仿宋" w:cs="Times New Roman"/>
                <w:color w:val="FF0000"/>
                <w:sz w:val="21"/>
                <w:szCs w:val="21"/>
                <w:lang w:val="en-US" w:eastAsia="zh-CN"/>
              </w:rPr>
            </w:pPr>
            <w:r>
              <w:rPr>
                <w:rFonts w:hint="eastAsia" w:ascii="Times New Roman" w:hAnsi="Times New Roman" w:eastAsia="仿宋"/>
                <w:szCs w:val="21"/>
                <w:highlight w:val="none"/>
                <w:lang w:val="en-US" w:eastAsia="zh-CN"/>
              </w:rPr>
              <w:t>XXX</w:t>
            </w:r>
          </w:p>
        </w:tc>
        <w:tc>
          <w:tcPr>
            <w:tcW w:w="1306" w:type="pct"/>
            <w:gridSpan w:val="3"/>
            <w:vAlign w:val="center"/>
          </w:tcPr>
          <w:p>
            <w:pPr>
              <w:widowControl/>
              <w:spacing w:line="380" w:lineRule="exact"/>
              <w:jc w:val="center"/>
              <w:rPr>
                <w:rFonts w:hint="default" w:ascii="Times New Roman" w:hAnsi="Times New Roman" w:eastAsia="仿宋" w:cs="Times New Roman"/>
                <w:color w:val="FF0000"/>
                <w:sz w:val="21"/>
                <w:szCs w:val="21"/>
                <w:lang w:val="en-US" w:eastAsia="zh-CN"/>
              </w:rPr>
            </w:pPr>
            <w:r>
              <w:rPr>
                <w:rFonts w:hint="eastAsia" w:ascii="Times New Roman" w:hAnsi="Times New Roman" w:eastAsia="仿宋"/>
                <w:szCs w:val="21"/>
                <w:highlight w:val="none"/>
                <w:lang w:val="en-US" w:eastAsia="zh-CN"/>
              </w:rPr>
              <w:t>XXX</w:t>
            </w:r>
          </w:p>
        </w:tc>
        <w:tc>
          <w:tcPr>
            <w:tcW w:w="1667" w:type="pct"/>
            <w:vAlign w:val="center"/>
          </w:tcPr>
          <w:p>
            <w:pPr>
              <w:widowControl/>
              <w:spacing w:line="380" w:lineRule="exact"/>
              <w:jc w:val="center"/>
              <w:rPr>
                <w:rFonts w:hint="default" w:ascii="Times New Roman" w:hAnsi="Times New Roman" w:eastAsia="仿宋" w:cs="Times New Roman"/>
                <w:color w:val="FF0000"/>
                <w:sz w:val="21"/>
                <w:szCs w:val="21"/>
                <w:lang w:val="en-US" w:eastAsia="zh-CN"/>
              </w:rPr>
            </w:pPr>
            <w:r>
              <w:rPr>
                <w:rFonts w:hint="eastAsia" w:ascii="Times New Roman" w:hAnsi="Times New Roman" w:eastAsia="仿宋"/>
                <w:szCs w:val="21"/>
                <w:highlight w:val="none"/>
                <w:lang w:val="en-US" w:eastAsia="zh-CN"/>
              </w:rPr>
              <w:t>XXX</w:t>
            </w:r>
          </w:p>
        </w:tc>
      </w:tr>
      <w:bookmarkEnd w:id="171"/>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restar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公共</w:t>
            </w:r>
          </w:p>
        </w:tc>
        <w:tc>
          <w:tcPr>
            <w:tcW w:w="94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报警电话</w:t>
            </w:r>
          </w:p>
        </w:tc>
        <w:tc>
          <w:tcPr>
            <w:tcW w:w="1306" w:type="pct"/>
            <w:gridSpan w:val="3"/>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火警电话</w:t>
            </w:r>
          </w:p>
        </w:tc>
        <w:tc>
          <w:tcPr>
            <w:tcW w:w="1667"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急救电话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continue"/>
            <w:vAlign w:val="center"/>
          </w:tcPr>
          <w:p>
            <w:pPr>
              <w:widowControl/>
              <w:spacing w:line="380" w:lineRule="exact"/>
              <w:jc w:val="center"/>
              <w:rPr>
                <w:rFonts w:hint="default" w:ascii="Times New Roman" w:hAnsi="Times New Roman" w:eastAsia="仿宋" w:cs="Times New Roman"/>
                <w:color w:val="FF0000"/>
                <w:sz w:val="21"/>
                <w:szCs w:val="21"/>
              </w:rPr>
            </w:pPr>
          </w:p>
        </w:tc>
        <w:tc>
          <w:tcPr>
            <w:tcW w:w="94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110</w:t>
            </w:r>
          </w:p>
        </w:tc>
        <w:tc>
          <w:tcPr>
            <w:tcW w:w="1306" w:type="pct"/>
            <w:gridSpan w:val="3"/>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119</w:t>
            </w:r>
          </w:p>
        </w:tc>
        <w:tc>
          <w:tcPr>
            <w:tcW w:w="1667"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120</w:t>
            </w:r>
          </w:p>
        </w:tc>
      </w:tr>
    </w:tbl>
    <w:p>
      <w:pPr>
        <w:rPr>
          <w:rFonts w:eastAsia="仿宋"/>
          <w:color w:val="FF0000"/>
          <w:szCs w:val="28"/>
        </w:rPr>
      </w:pPr>
      <w:r>
        <w:rPr>
          <w:rFonts w:eastAsia="仿宋"/>
          <w:color w:val="FF0000"/>
          <w:szCs w:val="28"/>
        </w:rPr>
        <w:br w:type="page"/>
      </w:r>
    </w:p>
    <w:p>
      <w:pPr>
        <w:pStyle w:val="95"/>
        <w:keepNext w:val="0"/>
        <w:keepLines w:val="0"/>
        <w:pageBreakBefore w:val="0"/>
        <w:widowControl w:val="0"/>
        <w:kinsoku/>
        <w:wordWrap/>
        <w:overflowPunct/>
        <w:topLinePunct w:val="0"/>
        <w:autoSpaceDE/>
        <w:autoSpaceDN/>
        <w:bidi w:val="0"/>
        <w:adjustRightInd/>
        <w:snapToGrid/>
        <w:spacing w:line="520" w:lineRule="exact"/>
        <w:ind w:firstLine="0" w:firstLineChars="0"/>
        <w:jc w:val="center"/>
        <w:textAlignment w:val="auto"/>
        <w:rPr>
          <w:rFonts w:eastAsia="仿宋"/>
          <w:color w:val="FF0000"/>
          <w:szCs w:val="28"/>
        </w:rPr>
      </w:pPr>
      <w:r>
        <w:rPr>
          <w:rFonts w:hint="eastAsia" w:eastAsia="仿宋"/>
          <w:color w:val="FF0000"/>
          <w:szCs w:val="28"/>
          <w:lang w:eastAsia="zh-CN"/>
        </w:rPr>
        <w:t>二、一次氯化岗位</w:t>
      </w:r>
    </w:p>
    <w:tbl>
      <w:tblPr>
        <w:tblStyle w:val="3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3"/>
        <w:gridCol w:w="821"/>
        <w:gridCol w:w="1701"/>
        <w:gridCol w:w="489"/>
        <w:gridCol w:w="1445"/>
        <w:gridCol w:w="697"/>
        <w:gridCol w:w="2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部门</w:t>
            </w:r>
          </w:p>
        </w:tc>
        <w:tc>
          <w:tcPr>
            <w:tcW w:w="1680" w:type="pct"/>
            <w:gridSpan w:val="3"/>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磷化分厂</w:t>
            </w:r>
          </w:p>
        </w:tc>
        <w:tc>
          <w:tcPr>
            <w:tcW w:w="806"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岗位名称</w:t>
            </w:r>
          </w:p>
        </w:tc>
        <w:tc>
          <w:tcPr>
            <w:tcW w:w="1896" w:type="pct"/>
            <w:gridSpan w:val="2"/>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一次氯化岗位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序号</w:t>
            </w:r>
          </w:p>
        </w:tc>
        <w:tc>
          <w:tcPr>
            <w:tcW w:w="4383" w:type="pct"/>
            <w:gridSpan w:val="6"/>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岗位应急处置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w:t>
            </w:r>
          </w:p>
        </w:tc>
        <w:tc>
          <w:tcPr>
            <w:tcW w:w="4383" w:type="pct"/>
            <w:gridSpan w:val="6"/>
            <w:vAlign w:val="center"/>
          </w:tcPr>
          <w:p>
            <w:pPr>
              <w:spacing w:line="220" w:lineRule="atLeast"/>
              <w:jc w:val="both"/>
              <w:rPr>
                <w:rFonts w:hint="default" w:ascii="Times New Roman" w:hAnsi="Times New Roman" w:eastAsia="仿宋" w:cs="Times New Roman"/>
                <w:color w:val="FF0000"/>
                <w:sz w:val="21"/>
                <w:szCs w:val="21"/>
                <w:lang w:eastAsia="zh-CN"/>
              </w:rPr>
            </w:pPr>
            <w:r>
              <w:rPr>
                <w:rFonts w:hint="default" w:ascii="Times New Roman" w:hAnsi="Times New Roman" w:eastAsia="仿宋" w:cs="Times New Roman"/>
                <w:b/>
                <w:color w:val="FF0000"/>
                <w:sz w:val="21"/>
                <w:szCs w:val="21"/>
              </w:rPr>
              <w:t>超温</w:t>
            </w:r>
            <w:r>
              <w:rPr>
                <w:rFonts w:hint="default" w:ascii="Times New Roman" w:hAnsi="Times New Roman" w:eastAsia="仿宋" w:cs="Times New Roman"/>
                <w:b/>
                <w:color w:val="FF0000"/>
                <w:sz w:val="21"/>
                <w:szCs w:val="21"/>
                <w:lang w:eastAsia="zh-CN"/>
              </w:rPr>
              <w:t>、</w:t>
            </w:r>
            <w:r>
              <w:rPr>
                <w:rFonts w:hint="default" w:ascii="Times New Roman" w:hAnsi="Times New Roman" w:eastAsia="仿宋" w:cs="Times New Roman"/>
                <w:b/>
                <w:color w:val="FF0000"/>
                <w:sz w:val="21"/>
                <w:szCs w:val="21"/>
                <w:lang w:val="en-US" w:eastAsia="zh-CN"/>
              </w:rPr>
              <w:t>超压</w:t>
            </w:r>
            <w:r>
              <w:rPr>
                <w:rFonts w:hint="default" w:ascii="Times New Roman" w:hAnsi="Times New Roman" w:eastAsia="仿宋" w:cs="Times New Roman"/>
                <w:b/>
                <w:color w:val="FF0000"/>
                <w:sz w:val="21"/>
                <w:szCs w:val="21"/>
              </w:rPr>
              <w:t>：1、</w:t>
            </w:r>
            <w:r>
              <w:rPr>
                <w:rFonts w:hint="default" w:ascii="Times New Roman" w:hAnsi="Times New Roman" w:eastAsia="仿宋" w:cs="Times New Roman"/>
                <w:b w:val="0"/>
                <w:bCs/>
                <w:color w:val="FF0000"/>
                <w:sz w:val="21"/>
                <w:szCs w:val="21"/>
                <w:lang w:val="en-US" w:eastAsia="zh-CN"/>
              </w:rPr>
              <w:t>停止通氯，停止加黄磷，</w:t>
            </w:r>
            <w:r>
              <w:rPr>
                <w:rFonts w:hint="default" w:ascii="Times New Roman" w:hAnsi="Times New Roman" w:eastAsia="仿宋" w:cs="Times New Roman"/>
                <w:color w:val="FF0000"/>
                <w:sz w:val="21"/>
                <w:szCs w:val="21"/>
              </w:rPr>
              <w:t>找出反应釜超温</w:t>
            </w:r>
            <w:r>
              <w:rPr>
                <w:rFonts w:hint="default" w:ascii="Times New Roman" w:hAnsi="Times New Roman" w:eastAsia="仿宋" w:cs="Times New Roman"/>
                <w:color w:val="FF0000"/>
                <w:sz w:val="21"/>
                <w:szCs w:val="21"/>
                <w:lang w:eastAsia="zh-CN"/>
              </w:rPr>
              <w:t>、</w:t>
            </w:r>
            <w:r>
              <w:rPr>
                <w:rFonts w:hint="default" w:ascii="Times New Roman" w:hAnsi="Times New Roman" w:eastAsia="仿宋" w:cs="Times New Roman"/>
                <w:color w:val="FF0000"/>
                <w:sz w:val="21"/>
                <w:szCs w:val="21"/>
                <w:lang w:val="en-US" w:eastAsia="zh-CN"/>
              </w:rPr>
              <w:t>超压</w:t>
            </w:r>
            <w:r>
              <w:rPr>
                <w:rFonts w:hint="default" w:ascii="Times New Roman" w:hAnsi="Times New Roman" w:eastAsia="仿宋" w:cs="Times New Roman"/>
                <w:color w:val="FF0000"/>
                <w:sz w:val="21"/>
                <w:szCs w:val="21"/>
              </w:rPr>
              <w:t>原因</w:t>
            </w:r>
            <w:r>
              <w:rPr>
                <w:rFonts w:hint="default" w:ascii="Times New Roman" w:hAnsi="Times New Roman" w:eastAsia="仿宋" w:cs="Times New Roman"/>
                <w:color w:val="FF0000"/>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Align w:val="center"/>
          </w:tcPr>
          <w:p>
            <w:pPr>
              <w:jc w:val="center"/>
              <w:rPr>
                <w:rFonts w:hint="default" w:ascii="Times New Roman" w:hAnsi="Times New Roman" w:eastAsia="仿宋" w:cs="Times New Roman"/>
                <w:color w:val="FF0000"/>
                <w:sz w:val="21"/>
                <w:szCs w:val="21"/>
                <w:lang w:eastAsia="zh-CN"/>
              </w:rPr>
            </w:pPr>
            <w:r>
              <w:rPr>
                <w:rFonts w:hint="default" w:ascii="Times New Roman" w:hAnsi="Times New Roman" w:eastAsia="仿宋" w:cs="Times New Roman"/>
                <w:color w:val="FF0000"/>
                <w:sz w:val="21"/>
                <w:szCs w:val="21"/>
                <w:lang w:val="en-US" w:eastAsia="zh-CN"/>
              </w:rPr>
              <w:t>2</w:t>
            </w:r>
          </w:p>
        </w:tc>
        <w:tc>
          <w:tcPr>
            <w:tcW w:w="4383" w:type="pct"/>
            <w:gridSpan w:val="6"/>
            <w:vAlign w:val="center"/>
          </w:tcPr>
          <w:p>
            <w:pPr>
              <w:spacing w:line="220" w:lineRule="atLeas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停电、停水、停蒸汽、停</w:t>
            </w:r>
            <w:r>
              <w:rPr>
                <w:rFonts w:hint="default" w:ascii="Times New Roman" w:hAnsi="Times New Roman" w:eastAsia="仿宋" w:cs="Times New Roman"/>
                <w:b/>
                <w:color w:val="FF0000"/>
                <w:sz w:val="21"/>
                <w:szCs w:val="21"/>
                <w:lang w:val="en-US" w:eastAsia="zh-CN"/>
              </w:rPr>
              <w:t>仪表</w:t>
            </w:r>
            <w:r>
              <w:rPr>
                <w:rFonts w:hint="default" w:ascii="Times New Roman" w:hAnsi="Times New Roman" w:eastAsia="仿宋" w:cs="Times New Roman"/>
                <w:b/>
                <w:color w:val="FF0000"/>
                <w:sz w:val="21"/>
                <w:szCs w:val="21"/>
              </w:rPr>
              <w:t>气：</w:t>
            </w:r>
            <w:r>
              <w:rPr>
                <w:rFonts w:hint="default" w:ascii="Times New Roman" w:hAnsi="Times New Roman" w:eastAsia="仿宋" w:cs="Times New Roman"/>
                <w:b w:val="0"/>
                <w:bCs/>
                <w:color w:val="FF0000"/>
                <w:sz w:val="21"/>
                <w:szCs w:val="21"/>
                <w:lang w:val="en-US" w:eastAsia="zh-CN"/>
              </w:rPr>
              <w:t>停止通氯、停止加黄磷，关闭出料阀门</w:t>
            </w:r>
            <w:r>
              <w:rPr>
                <w:rFonts w:hint="default" w:ascii="Times New Roman" w:hAnsi="Times New Roman" w:eastAsia="仿宋" w:cs="Times New Roman"/>
                <w:color w:val="FF0000"/>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Align w:val="center"/>
          </w:tcPr>
          <w:p>
            <w:pPr>
              <w:jc w:val="center"/>
              <w:rPr>
                <w:rFonts w:hint="default" w:ascii="Times New Roman" w:hAnsi="Times New Roman" w:eastAsia="仿宋" w:cs="Times New Roman"/>
                <w:color w:val="FF0000"/>
                <w:sz w:val="21"/>
                <w:szCs w:val="21"/>
                <w:lang w:eastAsia="zh-CN"/>
              </w:rPr>
            </w:pPr>
            <w:r>
              <w:rPr>
                <w:rFonts w:hint="default" w:ascii="Times New Roman" w:hAnsi="Times New Roman" w:eastAsia="仿宋" w:cs="Times New Roman"/>
                <w:color w:val="FF0000"/>
                <w:sz w:val="21"/>
                <w:szCs w:val="21"/>
                <w:lang w:val="en-US" w:eastAsia="zh-CN"/>
              </w:rPr>
              <w:t>3</w:t>
            </w:r>
          </w:p>
        </w:tc>
        <w:tc>
          <w:tcPr>
            <w:tcW w:w="4383" w:type="pct"/>
            <w:gridSpan w:val="6"/>
            <w:vAlign w:val="center"/>
          </w:tcPr>
          <w:p>
            <w:pPr>
              <w:widowControl/>
              <w:spacing w:line="380" w:lineRule="exac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中毒</w:t>
            </w:r>
            <w:r>
              <w:rPr>
                <w:rFonts w:hint="default" w:ascii="Times New Roman" w:hAnsi="Times New Roman" w:eastAsia="仿宋" w:cs="Times New Roman"/>
                <w:color w:val="FF0000"/>
                <w:sz w:val="21"/>
                <w:szCs w:val="21"/>
              </w:rPr>
              <w:t>：立即停止作业，呼叫岗位人员，报告班组长，通知车间主任；将中毒者转移至安全地带/空气新鲜处；现场急救，联系送医院救治。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Align w:val="center"/>
          </w:tcPr>
          <w:p>
            <w:pPr>
              <w:jc w:val="center"/>
              <w:rPr>
                <w:rFonts w:hint="default" w:ascii="Times New Roman" w:hAnsi="Times New Roman" w:eastAsia="仿宋" w:cs="Times New Roman"/>
                <w:color w:val="FF0000"/>
                <w:sz w:val="21"/>
                <w:szCs w:val="21"/>
                <w:lang w:eastAsia="zh-CN"/>
              </w:rPr>
            </w:pPr>
            <w:r>
              <w:rPr>
                <w:rFonts w:hint="default" w:ascii="Times New Roman" w:hAnsi="Times New Roman" w:eastAsia="仿宋" w:cs="Times New Roman"/>
                <w:color w:val="FF0000"/>
                <w:sz w:val="21"/>
                <w:szCs w:val="21"/>
                <w:lang w:val="en-US" w:eastAsia="zh-CN"/>
              </w:rPr>
              <w:t>4</w:t>
            </w:r>
          </w:p>
        </w:tc>
        <w:tc>
          <w:tcPr>
            <w:tcW w:w="4383" w:type="pct"/>
            <w:gridSpan w:val="6"/>
            <w:vAlign w:val="center"/>
          </w:tcPr>
          <w:p>
            <w:pPr>
              <w:spacing w:line="380" w:lineRule="exac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烫伤</w:t>
            </w:r>
            <w:r>
              <w:rPr>
                <w:rFonts w:hint="default" w:ascii="Times New Roman" w:hAnsi="Times New Roman" w:eastAsia="仿宋" w:cs="Times New Roman"/>
                <w:color w:val="FF0000"/>
                <w:sz w:val="21"/>
                <w:szCs w:val="21"/>
              </w:rPr>
              <w:t>：转移</w:t>
            </w:r>
            <w:r>
              <w:rPr>
                <w:rFonts w:hint="default" w:ascii="Times New Roman" w:hAnsi="Times New Roman" w:eastAsia="仿宋" w:cs="Times New Roman"/>
                <w:color w:val="FF0000"/>
                <w:sz w:val="21"/>
                <w:szCs w:val="21"/>
                <w:lang w:val="en-US" w:eastAsia="zh-CN"/>
              </w:rPr>
              <w:t>伤员</w:t>
            </w:r>
            <w:r>
              <w:rPr>
                <w:rFonts w:hint="default" w:ascii="Times New Roman" w:hAnsi="Times New Roman" w:eastAsia="仿宋" w:cs="Times New Roman"/>
                <w:color w:val="FF0000"/>
                <w:sz w:val="21"/>
                <w:szCs w:val="21"/>
              </w:rPr>
              <w:t>至安全地带；用清水清洗降温烫伤部位至少15分钟；伤情严重者送医进一步治疗。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Align w:val="center"/>
          </w:tcPr>
          <w:p>
            <w:pPr>
              <w:jc w:val="center"/>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lang w:val="en-US" w:eastAsia="zh-CN"/>
              </w:rPr>
              <w:t>5</w:t>
            </w:r>
          </w:p>
        </w:tc>
        <w:tc>
          <w:tcPr>
            <w:tcW w:w="4383" w:type="pct"/>
            <w:gridSpan w:val="6"/>
            <w:vAlign w:val="center"/>
          </w:tcPr>
          <w:p>
            <w:pPr>
              <w:widowControl/>
              <w:spacing w:line="380" w:lineRule="exac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泄</w:t>
            </w:r>
            <w:r>
              <w:rPr>
                <w:rFonts w:hint="default" w:ascii="Times New Roman" w:hAnsi="Times New Roman" w:eastAsia="仿宋" w:cs="Times New Roman"/>
                <w:b/>
                <w:color w:val="FF0000"/>
                <w:sz w:val="21"/>
                <w:szCs w:val="21"/>
                <w:lang w:val="en-US" w:eastAsia="zh-CN"/>
              </w:rPr>
              <w:t>漏</w:t>
            </w:r>
            <w:r>
              <w:rPr>
                <w:rFonts w:hint="default" w:ascii="Times New Roman" w:hAnsi="Times New Roman" w:eastAsia="仿宋" w:cs="Times New Roman"/>
                <w:b/>
                <w:color w:val="FF0000"/>
                <w:sz w:val="21"/>
                <w:szCs w:val="21"/>
              </w:rPr>
              <w:t>：</w:t>
            </w:r>
            <w:r>
              <w:rPr>
                <w:rFonts w:hint="default" w:ascii="Times New Roman" w:hAnsi="Times New Roman" w:eastAsia="仿宋" w:cs="Times New Roman"/>
                <w:bCs/>
                <w:color w:val="FF0000"/>
                <w:sz w:val="21"/>
                <w:szCs w:val="21"/>
              </w:rPr>
              <w:t>1</w:t>
            </w:r>
            <w:r>
              <w:rPr>
                <w:rFonts w:hint="default" w:ascii="Times New Roman" w:hAnsi="Times New Roman" w:eastAsia="仿宋" w:cs="Times New Roman"/>
                <w:color w:val="FF0000"/>
                <w:sz w:val="21"/>
                <w:szCs w:val="21"/>
              </w:rPr>
              <w:t>、微量泄漏，操作人员戴防毒面具用氨水检漏，根据报警点迅速查找泄漏源，并及时将异情报告当班班长，根据现场情况用不同的适用堵漏器材作临时处理，再上报车间检修，确认漏点处理完成，经上级安全、生产部门确认合格后方可启用；</w:t>
            </w:r>
          </w:p>
          <w:p>
            <w:pPr>
              <w:widowControl/>
              <w:spacing w:line="380" w:lineRule="exact"/>
              <w:rPr>
                <w:rFonts w:hint="default" w:ascii="Times New Roman" w:hAnsi="Times New Roman" w:eastAsia="仿宋" w:cs="Times New Roman"/>
                <w:b/>
                <w:bCs/>
                <w:color w:val="FF0000"/>
                <w:sz w:val="21"/>
                <w:szCs w:val="21"/>
                <w:lang w:val="en-US" w:eastAsia="zh-CN"/>
              </w:rPr>
            </w:pPr>
            <w:r>
              <w:rPr>
                <w:rFonts w:hint="default" w:ascii="Times New Roman" w:hAnsi="Times New Roman" w:eastAsia="仿宋" w:cs="Times New Roman"/>
                <w:color w:val="FF0000"/>
                <w:sz w:val="21"/>
                <w:szCs w:val="21"/>
              </w:rPr>
              <w:t>2、大量泄漏，启动应急预案，疏散无关人员</w:t>
            </w:r>
            <w:r>
              <w:rPr>
                <w:rFonts w:hint="default" w:ascii="Times New Roman" w:hAnsi="Times New Roman" w:eastAsia="仿宋" w:cs="Times New Roman"/>
                <w:color w:val="FF0000"/>
                <w:sz w:val="21"/>
                <w:szCs w:val="21"/>
                <w:lang w:eastAsia="zh-CN"/>
              </w:rPr>
              <w:t>，</w:t>
            </w:r>
            <w:r>
              <w:rPr>
                <w:rFonts w:hint="default" w:ascii="Times New Roman" w:hAnsi="Times New Roman" w:eastAsia="仿宋" w:cs="Times New Roman"/>
                <w:color w:val="FF0000"/>
                <w:sz w:val="21"/>
                <w:szCs w:val="21"/>
                <w:lang w:val="en-US" w:eastAsia="zh-CN"/>
              </w:rPr>
              <w:t>救援受伤人员</w:t>
            </w:r>
            <w:r>
              <w:rPr>
                <w:rFonts w:hint="default" w:ascii="Times New Roman" w:hAnsi="Times New Roman" w:eastAsia="仿宋" w:cs="Times New Roman"/>
                <w:color w:val="FF0000"/>
                <w:sz w:val="21"/>
                <w:szCs w:val="21"/>
              </w:rPr>
              <w:t>。抢险人员双人穿戴好防化服，正压式空气呼吸器，切断泄露源</w:t>
            </w:r>
            <w:r>
              <w:rPr>
                <w:rFonts w:hint="default" w:ascii="Times New Roman" w:hAnsi="Times New Roman" w:eastAsia="仿宋" w:cs="Times New Roman"/>
                <w:color w:val="FF0000"/>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Align w:val="center"/>
          </w:tcPr>
          <w:p>
            <w:pPr>
              <w:jc w:val="center"/>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lang w:val="en-US" w:eastAsia="zh-CN"/>
              </w:rPr>
              <w:t>6</w:t>
            </w:r>
          </w:p>
        </w:tc>
        <w:tc>
          <w:tcPr>
            <w:tcW w:w="4383" w:type="pct"/>
            <w:gridSpan w:val="6"/>
            <w:vAlign w:val="center"/>
          </w:tcPr>
          <w:p>
            <w:pPr>
              <w:widowControl/>
              <w:spacing w:line="380" w:lineRule="exact"/>
              <w:rPr>
                <w:rFonts w:hint="default" w:ascii="Times New Roman" w:hAnsi="Times New Roman" w:eastAsia="仿宋" w:cs="Times New Roman"/>
                <w:color w:val="FF0000"/>
                <w:sz w:val="21"/>
                <w:szCs w:val="21"/>
              </w:rPr>
            </w:pPr>
            <w:r>
              <w:rPr>
                <w:rFonts w:hint="default" w:ascii="Times New Roman" w:hAnsi="Times New Roman" w:eastAsia="仿宋" w:cs="Times New Roman"/>
                <w:b/>
                <w:bCs/>
                <w:color w:val="FF0000"/>
                <w:sz w:val="21"/>
                <w:szCs w:val="21"/>
                <w:lang w:val="en-US" w:eastAsia="zh-CN"/>
              </w:rPr>
              <w:t>火灾：</w:t>
            </w:r>
            <w:r>
              <w:rPr>
                <w:rFonts w:hint="default" w:ascii="Times New Roman" w:hAnsi="Times New Roman" w:eastAsia="仿宋" w:cs="Times New Roman"/>
                <w:color w:val="FF0000"/>
                <w:sz w:val="21"/>
                <w:szCs w:val="21"/>
              </w:rPr>
              <w:t>1、立即停止作业，报告班组长，通知车间主任；2、</w:t>
            </w:r>
            <w:r>
              <w:rPr>
                <w:rFonts w:hint="default" w:ascii="Times New Roman" w:hAnsi="Times New Roman" w:eastAsia="仿宋" w:cs="Times New Roman"/>
                <w:color w:val="FF0000"/>
                <w:sz w:val="21"/>
                <w:szCs w:val="21"/>
                <w:lang w:val="en-US" w:eastAsia="zh-CN"/>
              </w:rPr>
              <w:t>根据着火源采取措施</w:t>
            </w:r>
            <w:r>
              <w:rPr>
                <w:rFonts w:hint="default" w:ascii="Times New Roman" w:hAnsi="Times New Roman" w:eastAsia="仿宋" w:cs="Times New Roman"/>
                <w:color w:val="FF0000"/>
                <w:sz w:val="21"/>
                <w:szCs w:val="21"/>
              </w:rPr>
              <w:t>灭火</w:t>
            </w:r>
            <w:r>
              <w:rPr>
                <w:rFonts w:hint="default" w:ascii="Times New Roman" w:hAnsi="Times New Roman" w:eastAsia="仿宋" w:cs="Times New Roman"/>
                <w:b/>
                <w:bCs/>
                <w:color w:val="FF0000"/>
                <w:sz w:val="21"/>
                <w:szCs w:val="21"/>
                <w:lang w:eastAsia="zh-CN"/>
              </w:rPr>
              <w:t>（</w:t>
            </w:r>
            <w:r>
              <w:rPr>
                <w:rFonts w:hint="default" w:ascii="Times New Roman" w:hAnsi="Times New Roman" w:eastAsia="仿宋" w:cs="Times New Roman"/>
                <w:b/>
                <w:bCs/>
                <w:color w:val="FF0000"/>
                <w:sz w:val="21"/>
                <w:szCs w:val="21"/>
                <w:lang w:val="en-US" w:eastAsia="zh-CN"/>
              </w:rPr>
              <w:t>黄磷泄漏着火可用大量雾状水或沙土灭火；三氯化磷不可接触水只能用大量沙土灭火</w:t>
            </w:r>
            <w:r>
              <w:rPr>
                <w:rFonts w:hint="default" w:ascii="Times New Roman" w:hAnsi="Times New Roman" w:eastAsia="仿宋" w:cs="Times New Roman"/>
                <w:b/>
                <w:bCs/>
                <w:color w:val="FF0000"/>
                <w:sz w:val="21"/>
                <w:szCs w:val="21"/>
                <w:lang w:eastAsia="zh-CN"/>
              </w:rPr>
              <w:t>）</w:t>
            </w:r>
            <w:r>
              <w:rPr>
                <w:rFonts w:hint="default" w:ascii="Times New Roman" w:hAnsi="Times New Roman" w:eastAsia="仿宋" w:cs="Times New Roman"/>
                <w:b/>
                <w:bCs/>
                <w:color w:val="FF0000"/>
                <w:sz w:val="21"/>
                <w:szCs w:val="21"/>
              </w:rPr>
              <w:t>，</w:t>
            </w:r>
            <w:r>
              <w:rPr>
                <w:rFonts w:hint="default" w:ascii="Times New Roman" w:hAnsi="Times New Roman" w:eastAsia="仿宋" w:cs="Times New Roman"/>
                <w:color w:val="FF0000"/>
                <w:sz w:val="21"/>
                <w:szCs w:val="21"/>
              </w:rPr>
              <w:t>同时对其它未着火的部位进行防护，防止火势扩大；若有人员受伤，抢救伤员脱离现场进行急救；3、若火势扩大立即撤离，对火灾现场进行警戒，疏散周边人员，等待救援；4、抢险人员穿戴必要的应急装备（呼吸器、防护服等）进行灭火；5、做好现场保护等待调查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Merge w:val="restar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应急联系电话</w:t>
            </w:r>
          </w:p>
        </w:tc>
        <w:tc>
          <w:tcPr>
            <w:tcW w:w="458" w:type="pct"/>
            <w:vMerge w:val="restar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厂内</w:t>
            </w:r>
          </w:p>
        </w:tc>
        <w:tc>
          <w:tcPr>
            <w:tcW w:w="949" w:type="pc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应急中心</w:t>
            </w:r>
          </w:p>
        </w:tc>
        <w:tc>
          <w:tcPr>
            <w:tcW w:w="1468" w:type="pct"/>
            <w:gridSpan w:val="3"/>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技术负责人</w:t>
            </w:r>
          </w:p>
        </w:tc>
        <w:tc>
          <w:tcPr>
            <w:tcW w:w="1507" w:type="pc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车间负责人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616" w:type="pct"/>
            <w:vMerge w:val="continue"/>
            <w:vAlign w:val="center"/>
          </w:tcPr>
          <w:p>
            <w:pPr>
              <w:spacing w:line="380" w:lineRule="exact"/>
              <w:jc w:val="center"/>
              <w:rPr>
                <w:rFonts w:hint="default" w:ascii="Times New Roman" w:hAnsi="Times New Roman" w:eastAsia="仿宋" w:cs="Times New Roman"/>
                <w:color w:val="FF0000"/>
                <w:kern w:val="0"/>
                <w:sz w:val="21"/>
                <w:szCs w:val="21"/>
              </w:rPr>
            </w:pPr>
          </w:p>
        </w:tc>
        <w:tc>
          <w:tcPr>
            <w:tcW w:w="458" w:type="pct"/>
            <w:vMerge w:val="continue"/>
            <w:vAlign w:val="center"/>
          </w:tcPr>
          <w:p>
            <w:pPr>
              <w:spacing w:line="380" w:lineRule="exact"/>
              <w:jc w:val="center"/>
              <w:rPr>
                <w:rFonts w:hint="default" w:ascii="Times New Roman" w:hAnsi="Times New Roman" w:eastAsia="仿宋" w:cs="Times New Roman"/>
                <w:color w:val="FF0000"/>
                <w:kern w:val="0"/>
                <w:sz w:val="21"/>
                <w:szCs w:val="21"/>
              </w:rPr>
            </w:pPr>
          </w:p>
        </w:tc>
        <w:tc>
          <w:tcPr>
            <w:tcW w:w="949" w:type="pct"/>
            <w:vAlign w:val="center"/>
          </w:tcPr>
          <w:p>
            <w:pPr>
              <w:spacing w:line="380" w:lineRule="exact"/>
              <w:jc w:val="center"/>
              <w:rPr>
                <w:rFonts w:hint="default" w:ascii="Times New Roman" w:hAnsi="Times New Roman" w:eastAsia="仿宋" w:cs="Times New Roman"/>
                <w:color w:val="FF0000"/>
                <w:kern w:val="0"/>
                <w:sz w:val="21"/>
                <w:szCs w:val="21"/>
              </w:rPr>
            </w:pPr>
            <w:r>
              <w:rPr>
                <w:rFonts w:hint="eastAsia" w:ascii="Times New Roman" w:hAnsi="Times New Roman" w:eastAsia="仿宋"/>
                <w:szCs w:val="21"/>
                <w:highlight w:val="none"/>
                <w:lang w:val="en-US" w:eastAsia="zh-CN"/>
              </w:rPr>
              <w:t>XXX</w:t>
            </w:r>
          </w:p>
        </w:tc>
        <w:tc>
          <w:tcPr>
            <w:tcW w:w="1468" w:type="pct"/>
            <w:gridSpan w:val="3"/>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c>
          <w:tcPr>
            <w:tcW w:w="1507" w:type="pct"/>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Merge w:val="continue"/>
            <w:vAlign w:val="center"/>
          </w:tcPr>
          <w:p>
            <w:pPr>
              <w:spacing w:line="380" w:lineRule="exact"/>
              <w:jc w:val="center"/>
              <w:rPr>
                <w:rFonts w:hint="default" w:ascii="Times New Roman" w:hAnsi="Times New Roman" w:eastAsia="仿宋" w:cs="Times New Roman"/>
                <w:color w:val="FF0000"/>
                <w:kern w:val="0"/>
                <w:sz w:val="21"/>
                <w:szCs w:val="21"/>
              </w:rPr>
            </w:pPr>
          </w:p>
        </w:tc>
        <w:tc>
          <w:tcPr>
            <w:tcW w:w="458" w:type="pct"/>
            <w:vMerge w:val="restar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公共</w:t>
            </w:r>
          </w:p>
        </w:tc>
        <w:tc>
          <w:tcPr>
            <w:tcW w:w="949" w:type="pc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报警电话</w:t>
            </w:r>
          </w:p>
        </w:tc>
        <w:tc>
          <w:tcPr>
            <w:tcW w:w="1468" w:type="pct"/>
            <w:gridSpan w:val="3"/>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火警电话</w:t>
            </w:r>
          </w:p>
        </w:tc>
        <w:tc>
          <w:tcPr>
            <w:tcW w:w="1507" w:type="pc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急救电话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Merge w:val="continue"/>
            <w:vAlign w:val="center"/>
          </w:tcPr>
          <w:p>
            <w:pPr>
              <w:spacing w:line="380" w:lineRule="exact"/>
              <w:jc w:val="center"/>
              <w:rPr>
                <w:rFonts w:hint="default" w:ascii="Times New Roman" w:hAnsi="Times New Roman" w:eastAsia="仿宋" w:cs="Times New Roman"/>
                <w:color w:val="FF0000"/>
                <w:kern w:val="0"/>
                <w:sz w:val="21"/>
                <w:szCs w:val="21"/>
              </w:rPr>
            </w:pPr>
          </w:p>
        </w:tc>
        <w:tc>
          <w:tcPr>
            <w:tcW w:w="458" w:type="pct"/>
            <w:vMerge w:val="continue"/>
            <w:vAlign w:val="center"/>
          </w:tcPr>
          <w:p>
            <w:pPr>
              <w:spacing w:line="380" w:lineRule="exact"/>
              <w:jc w:val="center"/>
              <w:rPr>
                <w:rFonts w:hint="default" w:ascii="Times New Roman" w:hAnsi="Times New Roman" w:eastAsia="仿宋" w:cs="Times New Roman"/>
                <w:color w:val="FF0000"/>
                <w:kern w:val="0"/>
                <w:sz w:val="21"/>
                <w:szCs w:val="21"/>
              </w:rPr>
            </w:pPr>
          </w:p>
        </w:tc>
        <w:tc>
          <w:tcPr>
            <w:tcW w:w="949" w:type="pc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110</w:t>
            </w:r>
          </w:p>
        </w:tc>
        <w:tc>
          <w:tcPr>
            <w:tcW w:w="1468" w:type="pct"/>
            <w:gridSpan w:val="3"/>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119</w:t>
            </w:r>
          </w:p>
        </w:tc>
        <w:tc>
          <w:tcPr>
            <w:tcW w:w="1507" w:type="pc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120</w:t>
            </w:r>
          </w:p>
        </w:tc>
      </w:tr>
    </w:tbl>
    <w:p>
      <w:pPr>
        <w:rPr>
          <w:rFonts w:eastAsia="仿宋"/>
          <w:color w:val="FF0000"/>
          <w:szCs w:val="28"/>
        </w:rPr>
      </w:pPr>
      <w:r>
        <w:rPr>
          <w:rFonts w:eastAsia="仿宋"/>
          <w:color w:val="FF0000"/>
          <w:szCs w:val="28"/>
        </w:rPr>
        <w:br w:type="page"/>
      </w:r>
    </w:p>
    <w:p>
      <w:pPr>
        <w:pStyle w:val="95"/>
        <w:keepNext w:val="0"/>
        <w:keepLines w:val="0"/>
        <w:pageBreakBefore w:val="0"/>
        <w:widowControl w:val="0"/>
        <w:kinsoku/>
        <w:wordWrap/>
        <w:overflowPunct/>
        <w:topLinePunct w:val="0"/>
        <w:autoSpaceDE/>
        <w:autoSpaceDN/>
        <w:bidi w:val="0"/>
        <w:adjustRightInd/>
        <w:snapToGrid/>
        <w:spacing w:line="520" w:lineRule="exact"/>
        <w:ind w:firstLine="0" w:firstLineChars="0"/>
        <w:jc w:val="center"/>
        <w:textAlignment w:val="auto"/>
        <w:rPr>
          <w:rFonts w:eastAsia="仿宋"/>
          <w:color w:val="FF0000"/>
          <w:szCs w:val="28"/>
        </w:rPr>
      </w:pPr>
      <w:r>
        <w:rPr>
          <w:rFonts w:hint="eastAsia" w:eastAsia="仿宋"/>
          <w:color w:val="FF0000"/>
          <w:szCs w:val="28"/>
          <w:lang w:eastAsia="zh-CN"/>
        </w:rPr>
        <w:t>三、二次氯化岗位</w:t>
      </w:r>
    </w:p>
    <w:tbl>
      <w:tblPr>
        <w:tblStyle w:val="3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5"/>
        <w:gridCol w:w="821"/>
        <w:gridCol w:w="1701"/>
        <w:gridCol w:w="489"/>
        <w:gridCol w:w="1445"/>
        <w:gridCol w:w="375"/>
        <w:gridCol w:w="30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部门</w:t>
            </w:r>
          </w:p>
        </w:tc>
        <w:tc>
          <w:tcPr>
            <w:tcW w:w="1680" w:type="pct"/>
            <w:gridSpan w:val="3"/>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磷化分厂</w:t>
            </w:r>
          </w:p>
        </w:tc>
        <w:tc>
          <w:tcPr>
            <w:tcW w:w="806"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岗位名称</w:t>
            </w:r>
          </w:p>
        </w:tc>
        <w:tc>
          <w:tcPr>
            <w:tcW w:w="1895" w:type="pct"/>
            <w:gridSpan w:val="2"/>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二次氯化岗位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序号</w:t>
            </w:r>
          </w:p>
        </w:tc>
        <w:tc>
          <w:tcPr>
            <w:tcW w:w="4382" w:type="pct"/>
            <w:gridSpan w:val="6"/>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岗位应急处置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w:t>
            </w:r>
          </w:p>
        </w:tc>
        <w:tc>
          <w:tcPr>
            <w:tcW w:w="4382" w:type="pct"/>
            <w:gridSpan w:val="6"/>
            <w:vAlign w:val="center"/>
          </w:tcPr>
          <w:p>
            <w:pPr>
              <w:spacing w:line="380" w:lineRule="exact"/>
              <w:jc w:val="both"/>
              <w:rPr>
                <w:rFonts w:hint="default" w:ascii="Times New Roman" w:hAnsi="Times New Roman" w:eastAsia="仿宋" w:cs="Times New Roman"/>
                <w:color w:val="FF0000"/>
                <w:sz w:val="21"/>
                <w:szCs w:val="21"/>
              </w:rPr>
            </w:pPr>
            <w:r>
              <w:rPr>
                <w:rFonts w:hint="default" w:ascii="Times New Roman" w:hAnsi="Times New Roman" w:eastAsia="仿宋" w:cs="Times New Roman"/>
                <w:b/>
                <w:bCs/>
                <w:color w:val="FF0000"/>
                <w:sz w:val="21"/>
                <w:szCs w:val="21"/>
              </w:rPr>
              <w:t>超温、超压：</w:t>
            </w:r>
            <w:r>
              <w:rPr>
                <w:rFonts w:hint="default" w:ascii="Times New Roman" w:hAnsi="Times New Roman" w:eastAsia="仿宋" w:cs="Times New Roman"/>
                <w:color w:val="FF0000"/>
                <w:sz w:val="21"/>
                <w:szCs w:val="21"/>
              </w:rPr>
              <w:t>关闭氯气分配器进</w:t>
            </w:r>
            <w:r>
              <w:rPr>
                <w:rFonts w:hint="default" w:ascii="Times New Roman" w:hAnsi="Times New Roman" w:eastAsia="仿宋" w:cs="Times New Roman"/>
                <w:color w:val="FF0000"/>
                <w:sz w:val="21"/>
                <w:szCs w:val="21"/>
                <w:lang w:val="en-US" w:eastAsia="zh-CN"/>
              </w:rPr>
              <w:t>氯</w:t>
            </w:r>
            <w:r>
              <w:rPr>
                <w:rFonts w:hint="default" w:ascii="Times New Roman" w:hAnsi="Times New Roman" w:eastAsia="仿宋" w:cs="Times New Roman"/>
                <w:color w:val="FF0000"/>
                <w:sz w:val="21"/>
                <w:szCs w:val="21"/>
              </w:rPr>
              <w:t>气阀门，</w:t>
            </w:r>
            <w:r>
              <w:rPr>
                <w:rFonts w:hint="default" w:ascii="Times New Roman" w:hAnsi="Times New Roman" w:eastAsia="仿宋" w:cs="Times New Roman"/>
                <w:color w:val="FF0000"/>
                <w:sz w:val="21"/>
                <w:szCs w:val="21"/>
                <w:lang w:val="en-US" w:eastAsia="zh-CN"/>
              </w:rPr>
              <w:t>停三氯化磷出料泵，关闭三氯化磷高位槽出料阀，</w:t>
            </w:r>
            <w:r>
              <w:rPr>
                <w:rFonts w:hint="default" w:ascii="Times New Roman" w:hAnsi="Times New Roman" w:eastAsia="仿宋" w:cs="Times New Roman"/>
                <w:color w:val="FF0000"/>
                <w:sz w:val="21"/>
                <w:szCs w:val="21"/>
              </w:rPr>
              <w:t>开二次氯化釜夹套进循环冷却水阀门。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2</w:t>
            </w:r>
          </w:p>
        </w:tc>
        <w:tc>
          <w:tcPr>
            <w:tcW w:w="4382" w:type="pct"/>
            <w:gridSpan w:val="6"/>
            <w:vAlign w:val="center"/>
          </w:tcPr>
          <w:p>
            <w:pPr>
              <w:spacing w:line="380" w:lineRule="exact"/>
              <w:jc w:val="both"/>
              <w:rPr>
                <w:rFonts w:hint="default" w:ascii="Times New Roman" w:hAnsi="Times New Roman" w:eastAsia="仿宋" w:cs="Times New Roman"/>
                <w:color w:val="FF0000"/>
                <w:sz w:val="21"/>
                <w:szCs w:val="21"/>
              </w:rPr>
            </w:pPr>
            <w:r>
              <w:rPr>
                <w:rFonts w:hint="default" w:ascii="Times New Roman" w:hAnsi="Times New Roman" w:eastAsia="仿宋" w:cs="Times New Roman"/>
                <w:b/>
                <w:bCs/>
                <w:color w:val="FF0000"/>
                <w:sz w:val="21"/>
                <w:szCs w:val="21"/>
                <w:lang w:val="en-US" w:eastAsia="zh-CN"/>
              </w:rPr>
              <w:t>停仪表气、</w:t>
            </w:r>
            <w:r>
              <w:rPr>
                <w:rFonts w:hint="default" w:ascii="Times New Roman" w:hAnsi="Times New Roman" w:eastAsia="仿宋" w:cs="Times New Roman"/>
                <w:b/>
                <w:bCs/>
                <w:color w:val="FF0000"/>
                <w:sz w:val="21"/>
                <w:szCs w:val="21"/>
              </w:rPr>
              <w:t>停氮气：</w:t>
            </w:r>
            <w:r>
              <w:rPr>
                <w:rFonts w:hint="default" w:ascii="Times New Roman" w:hAnsi="Times New Roman" w:eastAsia="仿宋" w:cs="Times New Roman"/>
                <w:color w:val="FF0000"/>
                <w:sz w:val="21"/>
                <w:szCs w:val="21"/>
              </w:rPr>
              <w:t>关闭氯气分配器进</w:t>
            </w:r>
            <w:r>
              <w:rPr>
                <w:rFonts w:hint="default" w:ascii="Times New Roman" w:hAnsi="Times New Roman" w:eastAsia="仿宋" w:cs="Times New Roman"/>
                <w:color w:val="FF0000"/>
                <w:sz w:val="21"/>
                <w:szCs w:val="21"/>
                <w:lang w:val="en-US" w:eastAsia="zh-CN"/>
              </w:rPr>
              <w:t>氯</w:t>
            </w:r>
            <w:r>
              <w:rPr>
                <w:rFonts w:hint="default" w:ascii="Times New Roman" w:hAnsi="Times New Roman" w:eastAsia="仿宋" w:cs="Times New Roman"/>
                <w:color w:val="FF0000"/>
                <w:sz w:val="21"/>
                <w:szCs w:val="21"/>
              </w:rPr>
              <w:t>气阀门，</w:t>
            </w:r>
            <w:r>
              <w:rPr>
                <w:rFonts w:hint="default" w:ascii="Times New Roman" w:hAnsi="Times New Roman" w:eastAsia="仿宋" w:cs="Times New Roman"/>
                <w:color w:val="FF0000"/>
                <w:sz w:val="21"/>
                <w:szCs w:val="21"/>
                <w:lang w:val="en-US" w:eastAsia="zh-CN"/>
              </w:rPr>
              <w:t>停三氯化磷出料泵，关闭三氯化磷高位槽出料阀，</w:t>
            </w:r>
            <w:r>
              <w:rPr>
                <w:rFonts w:hint="default" w:ascii="Times New Roman" w:hAnsi="Times New Roman" w:eastAsia="仿宋" w:cs="Times New Roman"/>
                <w:color w:val="FF0000"/>
                <w:sz w:val="21"/>
                <w:szCs w:val="21"/>
              </w:rPr>
              <w:t>进行紧急停车。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lang w:eastAsia="zh-CN"/>
              </w:rPr>
            </w:pPr>
            <w:r>
              <w:rPr>
                <w:rFonts w:hint="default" w:ascii="Times New Roman" w:hAnsi="Times New Roman" w:eastAsia="仿宋" w:cs="Times New Roman"/>
                <w:color w:val="FF0000"/>
                <w:sz w:val="21"/>
                <w:szCs w:val="21"/>
                <w:lang w:val="en-US" w:eastAsia="zh-CN"/>
              </w:rPr>
              <w:t>3</w:t>
            </w:r>
          </w:p>
        </w:tc>
        <w:tc>
          <w:tcPr>
            <w:tcW w:w="4382" w:type="pct"/>
            <w:gridSpan w:val="6"/>
            <w:vAlign w:val="center"/>
          </w:tcPr>
          <w:p>
            <w:pPr>
              <w:spacing w:line="220" w:lineRule="atLeast"/>
              <w:jc w:val="both"/>
              <w:rPr>
                <w:rFonts w:hint="default" w:ascii="Times New Roman" w:hAnsi="Times New Roman" w:eastAsia="仿宋" w:cs="Times New Roman"/>
                <w:color w:val="FF0000"/>
                <w:sz w:val="21"/>
                <w:szCs w:val="21"/>
                <w:lang w:eastAsia="zh-CN"/>
              </w:rPr>
            </w:pPr>
            <w:r>
              <w:rPr>
                <w:rFonts w:hint="default" w:ascii="Times New Roman" w:hAnsi="Times New Roman" w:eastAsia="仿宋" w:cs="Times New Roman"/>
                <w:b/>
                <w:bCs/>
                <w:color w:val="FF0000"/>
                <w:sz w:val="21"/>
                <w:szCs w:val="21"/>
              </w:rPr>
              <w:t>停电：</w:t>
            </w:r>
            <w:r>
              <w:rPr>
                <w:rFonts w:hint="default" w:ascii="Times New Roman" w:hAnsi="Times New Roman" w:eastAsia="仿宋" w:cs="Times New Roman"/>
                <w:color w:val="FF0000"/>
                <w:sz w:val="21"/>
                <w:szCs w:val="21"/>
              </w:rPr>
              <w:t>关闭氯气分配器进</w:t>
            </w:r>
            <w:r>
              <w:rPr>
                <w:rFonts w:hint="default" w:ascii="Times New Roman" w:hAnsi="Times New Roman" w:eastAsia="仿宋" w:cs="Times New Roman"/>
                <w:color w:val="FF0000"/>
                <w:sz w:val="21"/>
                <w:szCs w:val="21"/>
                <w:lang w:val="en-US" w:eastAsia="zh-CN"/>
              </w:rPr>
              <w:t>氯</w:t>
            </w:r>
            <w:r>
              <w:rPr>
                <w:rFonts w:hint="default" w:ascii="Times New Roman" w:hAnsi="Times New Roman" w:eastAsia="仿宋" w:cs="Times New Roman"/>
                <w:color w:val="FF0000"/>
                <w:sz w:val="21"/>
                <w:szCs w:val="21"/>
              </w:rPr>
              <w:t>气阀门，</w:t>
            </w:r>
            <w:r>
              <w:rPr>
                <w:rFonts w:hint="default" w:ascii="Times New Roman" w:hAnsi="Times New Roman" w:eastAsia="仿宋" w:cs="Times New Roman"/>
                <w:color w:val="FF0000"/>
                <w:sz w:val="21"/>
                <w:szCs w:val="21"/>
                <w:lang w:val="en-US" w:eastAsia="zh-CN"/>
              </w:rPr>
              <w:t>关闭三氯化磷高位槽出料阀，</w:t>
            </w:r>
            <w:r>
              <w:rPr>
                <w:rFonts w:hint="default" w:ascii="Times New Roman" w:hAnsi="Times New Roman" w:eastAsia="仿宋" w:cs="Times New Roman"/>
                <w:color w:val="FF0000"/>
                <w:sz w:val="21"/>
                <w:szCs w:val="21"/>
              </w:rPr>
              <w:t>打开二次氯化釜夹套进循环冷却水阀门，打开二次氯化放空开关阀，进行紧急停车</w:t>
            </w:r>
            <w:r>
              <w:rPr>
                <w:rFonts w:hint="default" w:ascii="Times New Roman" w:hAnsi="Times New Roman" w:eastAsia="仿宋" w:cs="Times New Roman"/>
                <w:color w:val="FF0000"/>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lang w:val="en-US" w:eastAsia="zh-CN"/>
              </w:rPr>
              <w:t>4</w:t>
            </w:r>
          </w:p>
        </w:tc>
        <w:tc>
          <w:tcPr>
            <w:tcW w:w="4382" w:type="pct"/>
            <w:gridSpan w:val="6"/>
            <w:vAlign w:val="center"/>
          </w:tcPr>
          <w:p>
            <w:pPr>
              <w:spacing w:line="220" w:lineRule="atLeast"/>
              <w:jc w:val="both"/>
              <w:rPr>
                <w:rFonts w:hint="default" w:ascii="Times New Roman" w:hAnsi="Times New Roman" w:eastAsia="仿宋" w:cs="Times New Roman"/>
                <w:b/>
                <w:bCs/>
                <w:color w:val="FF0000"/>
                <w:sz w:val="21"/>
                <w:szCs w:val="21"/>
              </w:rPr>
            </w:pPr>
            <w:r>
              <w:rPr>
                <w:rFonts w:hint="default" w:ascii="Times New Roman" w:hAnsi="Times New Roman" w:eastAsia="仿宋" w:cs="Times New Roman"/>
                <w:b/>
                <w:bCs/>
                <w:color w:val="FF0000"/>
                <w:sz w:val="21"/>
                <w:szCs w:val="21"/>
                <w:lang w:val="en-US" w:eastAsia="zh-CN"/>
              </w:rPr>
              <w:t>机械伤害：</w:t>
            </w:r>
            <w:r>
              <w:rPr>
                <w:rFonts w:hint="default" w:ascii="Times New Roman" w:hAnsi="Times New Roman" w:eastAsia="仿宋" w:cs="Times New Roman"/>
                <w:color w:val="FF0000"/>
                <w:sz w:val="21"/>
                <w:szCs w:val="21"/>
              </w:rPr>
              <w:t>立即</w:t>
            </w:r>
            <w:r>
              <w:rPr>
                <w:rFonts w:hint="default" w:ascii="Times New Roman" w:hAnsi="Times New Roman" w:eastAsia="仿宋" w:cs="Times New Roman"/>
                <w:color w:val="FF0000"/>
                <w:sz w:val="21"/>
                <w:szCs w:val="21"/>
                <w:lang w:val="en-US" w:eastAsia="zh-CN"/>
              </w:rPr>
              <w:t>使伤者脱离伤害源</w:t>
            </w:r>
            <w:r>
              <w:rPr>
                <w:rFonts w:hint="default" w:ascii="Times New Roman" w:hAnsi="Times New Roman" w:eastAsia="仿宋" w:cs="Times New Roman"/>
                <w:color w:val="FF0000"/>
                <w:sz w:val="21"/>
                <w:szCs w:val="21"/>
              </w:rPr>
              <w:t>，</w:t>
            </w:r>
            <w:r>
              <w:rPr>
                <w:rFonts w:hint="default" w:ascii="Times New Roman" w:hAnsi="Times New Roman" w:eastAsia="仿宋" w:cs="Times New Roman"/>
                <w:color w:val="FF0000"/>
                <w:sz w:val="21"/>
                <w:szCs w:val="21"/>
                <w:lang w:val="en-US" w:eastAsia="zh-CN"/>
              </w:rPr>
              <w:t>进行急救包扎后立即</w:t>
            </w:r>
            <w:r>
              <w:rPr>
                <w:rFonts w:hint="default" w:ascii="Times New Roman" w:hAnsi="Times New Roman" w:eastAsia="仿宋" w:cs="Times New Roman"/>
                <w:color w:val="FF0000"/>
                <w:sz w:val="21"/>
                <w:szCs w:val="21"/>
              </w:rPr>
              <w:t>送医。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lang w:eastAsia="zh-CN"/>
              </w:rPr>
            </w:pPr>
            <w:r>
              <w:rPr>
                <w:rFonts w:hint="default" w:ascii="Times New Roman" w:hAnsi="Times New Roman" w:eastAsia="仿宋" w:cs="Times New Roman"/>
                <w:color w:val="FF0000"/>
                <w:sz w:val="21"/>
                <w:szCs w:val="21"/>
                <w:lang w:val="en-US" w:eastAsia="zh-CN"/>
              </w:rPr>
              <w:t>5</w:t>
            </w:r>
          </w:p>
        </w:tc>
        <w:tc>
          <w:tcPr>
            <w:tcW w:w="4382" w:type="pct"/>
            <w:gridSpan w:val="6"/>
            <w:vAlign w:val="center"/>
          </w:tcPr>
          <w:p>
            <w:pPr>
              <w:widowControl/>
              <w:spacing w:line="380" w:lineRule="exact"/>
              <w:jc w:val="both"/>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中毒</w:t>
            </w:r>
            <w:r>
              <w:rPr>
                <w:rFonts w:hint="default" w:ascii="Times New Roman" w:hAnsi="Times New Roman" w:eastAsia="仿宋" w:cs="Times New Roman"/>
                <w:color w:val="FF0000"/>
                <w:sz w:val="21"/>
                <w:szCs w:val="21"/>
              </w:rPr>
              <w:t>：立即停止作业，呼叫岗位人员，报告班组长，通知车间主任；将中毒者转移至安全地带/空气新鲜处；现场急救，联系送医院救治。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lang w:eastAsia="zh-CN"/>
              </w:rPr>
            </w:pPr>
            <w:r>
              <w:rPr>
                <w:rFonts w:hint="default" w:ascii="Times New Roman" w:hAnsi="Times New Roman" w:eastAsia="仿宋" w:cs="Times New Roman"/>
                <w:color w:val="FF0000"/>
                <w:sz w:val="21"/>
                <w:szCs w:val="21"/>
                <w:lang w:val="en-US" w:eastAsia="zh-CN"/>
              </w:rPr>
              <w:t>6</w:t>
            </w:r>
          </w:p>
        </w:tc>
        <w:tc>
          <w:tcPr>
            <w:tcW w:w="4382" w:type="pct"/>
            <w:gridSpan w:val="6"/>
            <w:vAlign w:val="center"/>
          </w:tcPr>
          <w:p>
            <w:pPr>
              <w:widowControl/>
              <w:spacing w:line="380" w:lineRule="exact"/>
              <w:rPr>
                <w:rFonts w:hint="default" w:ascii="Times New Roman" w:hAnsi="Times New Roman" w:eastAsia="仿宋" w:cs="Times New Roman"/>
                <w:color w:val="FF0000"/>
                <w:sz w:val="21"/>
                <w:szCs w:val="21"/>
              </w:rPr>
            </w:pPr>
            <w:r>
              <w:rPr>
                <w:rFonts w:hint="default" w:ascii="Times New Roman" w:hAnsi="Times New Roman" w:eastAsia="仿宋" w:cs="Times New Roman"/>
                <w:b/>
                <w:bCs/>
                <w:color w:val="FF0000"/>
                <w:sz w:val="21"/>
                <w:szCs w:val="21"/>
              </w:rPr>
              <w:t>泄</w:t>
            </w:r>
            <w:r>
              <w:rPr>
                <w:rFonts w:hint="default" w:ascii="Times New Roman" w:hAnsi="Times New Roman" w:eastAsia="仿宋" w:cs="Times New Roman"/>
                <w:b/>
                <w:bCs/>
                <w:color w:val="FF0000"/>
                <w:sz w:val="21"/>
                <w:szCs w:val="21"/>
                <w:lang w:val="en-US" w:eastAsia="zh-CN"/>
              </w:rPr>
              <w:t>漏</w:t>
            </w:r>
            <w:r>
              <w:rPr>
                <w:rFonts w:hint="default" w:ascii="Times New Roman" w:hAnsi="Times New Roman" w:eastAsia="仿宋" w:cs="Times New Roman"/>
                <w:b/>
                <w:bCs/>
                <w:color w:val="FF0000"/>
                <w:sz w:val="21"/>
                <w:szCs w:val="21"/>
              </w:rPr>
              <w:t>：</w:t>
            </w:r>
            <w:r>
              <w:rPr>
                <w:rFonts w:hint="default" w:ascii="Times New Roman" w:hAnsi="Times New Roman" w:eastAsia="仿宋" w:cs="Times New Roman"/>
                <w:color w:val="FF0000"/>
                <w:sz w:val="21"/>
                <w:szCs w:val="21"/>
              </w:rPr>
              <w:t>立即停止作业，报告班组长；处理漏点人员要正确佩戴防护用品，观察漏点大小，可控漏点按要求进行消漏处理。不可控漏点，立即上报车间，启动应急预案，按要求有序进行紧急疏散。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lang w:val="en-US" w:eastAsia="zh-CN"/>
              </w:rPr>
              <w:t>7</w:t>
            </w:r>
          </w:p>
        </w:tc>
        <w:tc>
          <w:tcPr>
            <w:tcW w:w="4382" w:type="pct"/>
            <w:gridSpan w:val="6"/>
            <w:vAlign w:val="center"/>
          </w:tcPr>
          <w:p>
            <w:pPr>
              <w:widowControl/>
              <w:spacing w:line="380" w:lineRule="exact"/>
              <w:rPr>
                <w:rFonts w:hint="default" w:ascii="Times New Roman" w:hAnsi="Times New Roman" w:eastAsia="仿宋" w:cs="Times New Roman"/>
                <w:b/>
                <w:bCs/>
                <w:color w:val="FF0000"/>
                <w:sz w:val="21"/>
                <w:szCs w:val="21"/>
                <w:lang w:val="en-US" w:eastAsia="zh-CN"/>
              </w:rPr>
            </w:pPr>
            <w:r>
              <w:rPr>
                <w:rFonts w:hint="default" w:ascii="Times New Roman" w:hAnsi="Times New Roman" w:eastAsia="仿宋" w:cs="Times New Roman"/>
                <w:b/>
                <w:bCs/>
                <w:color w:val="FF0000"/>
                <w:sz w:val="21"/>
                <w:szCs w:val="21"/>
                <w:lang w:val="en-US" w:eastAsia="zh-CN"/>
              </w:rPr>
              <w:t>火灾：</w:t>
            </w:r>
            <w:r>
              <w:rPr>
                <w:rFonts w:hint="default" w:ascii="Times New Roman" w:hAnsi="Times New Roman" w:eastAsia="仿宋" w:cs="Times New Roman"/>
                <w:color w:val="FF0000"/>
                <w:sz w:val="21"/>
                <w:szCs w:val="21"/>
              </w:rPr>
              <w:t>1、立即停止作业，报告班组长，通知车间主任；2、利用</w:t>
            </w:r>
            <w:r>
              <w:rPr>
                <w:rFonts w:hint="default" w:ascii="Times New Roman" w:hAnsi="Times New Roman" w:eastAsia="仿宋" w:cs="Times New Roman"/>
                <w:color w:val="FF0000"/>
                <w:sz w:val="21"/>
                <w:szCs w:val="21"/>
                <w:lang w:val="en-US" w:eastAsia="zh-CN"/>
              </w:rPr>
              <w:t>大量沙土</w:t>
            </w:r>
            <w:r>
              <w:rPr>
                <w:rFonts w:hint="default" w:ascii="Times New Roman" w:hAnsi="Times New Roman" w:eastAsia="仿宋" w:cs="Times New Roman"/>
                <w:color w:val="FF0000"/>
                <w:sz w:val="21"/>
                <w:szCs w:val="21"/>
              </w:rPr>
              <w:t>灭火</w:t>
            </w:r>
            <w:r>
              <w:rPr>
                <w:rFonts w:hint="default" w:ascii="Times New Roman" w:hAnsi="Times New Roman" w:eastAsia="仿宋" w:cs="Times New Roman"/>
                <w:b/>
                <w:bCs/>
                <w:color w:val="FF0000"/>
                <w:sz w:val="21"/>
                <w:szCs w:val="21"/>
                <w:lang w:eastAsia="zh-CN"/>
              </w:rPr>
              <w:t>（</w:t>
            </w:r>
            <w:r>
              <w:rPr>
                <w:rFonts w:hint="default" w:ascii="Times New Roman" w:hAnsi="Times New Roman" w:eastAsia="仿宋" w:cs="Times New Roman"/>
                <w:b/>
                <w:bCs/>
                <w:color w:val="FF0000"/>
                <w:sz w:val="21"/>
                <w:szCs w:val="21"/>
                <w:lang w:val="en-US" w:eastAsia="zh-CN"/>
              </w:rPr>
              <w:t>五氯化磷不可接触水</w:t>
            </w:r>
            <w:r>
              <w:rPr>
                <w:rFonts w:hint="default" w:ascii="Times New Roman" w:hAnsi="Times New Roman" w:eastAsia="仿宋" w:cs="Times New Roman"/>
                <w:b/>
                <w:bCs/>
                <w:color w:val="FF0000"/>
                <w:sz w:val="21"/>
                <w:szCs w:val="21"/>
                <w:lang w:eastAsia="zh-CN"/>
              </w:rPr>
              <w:t>）</w:t>
            </w:r>
            <w:r>
              <w:rPr>
                <w:rFonts w:hint="default" w:ascii="Times New Roman" w:hAnsi="Times New Roman" w:eastAsia="仿宋" w:cs="Times New Roman"/>
                <w:color w:val="FF0000"/>
                <w:sz w:val="21"/>
                <w:szCs w:val="21"/>
              </w:rPr>
              <w:t>，同时对其它未着火的部位进行防护，防止火势扩大；若有人员受伤，抢救伤员脱离现场进行急救；3、若火势扩大立即撤离，对火灾现场进行警戒，疏散周边人员，等待救援；4、抢险人员穿戴必要的应急装备（呼吸器、防护服等）进行灭火；5、做好现场保护等待调查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restar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应急联系电话</w:t>
            </w:r>
          </w:p>
        </w:tc>
        <w:tc>
          <w:tcPr>
            <w:tcW w:w="458" w:type="pct"/>
            <w:vMerge w:val="restar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公共</w:t>
            </w:r>
          </w:p>
        </w:tc>
        <w:tc>
          <w:tcPr>
            <w:tcW w:w="949" w:type="pc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应急中心</w:t>
            </w:r>
          </w:p>
        </w:tc>
        <w:tc>
          <w:tcPr>
            <w:tcW w:w="1288" w:type="pct"/>
            <w:gridSpan w:val="3"/>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技术负责人</w:t>
            </w:r>
          </w:p>
        </w:tc>
        <w:tc>
          <w:tcPr>
            <w:tcW w:w="1685" w:type="pc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车间负责人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617" w:type="pct"/>
            <w:vMerge w:val="continue"/>
            <w:vAlign w:val="center"/>
          </w:tcPr>
          <w:p>
            <w:pPr>
              <w:spacing w:line="380" w:lineRule="exact"/>
              <w:jc w:val="center"/>
              <w:rPr>
                <w:rFonts w:hint="default" w:ascii="Times New Roman" w:hAnsi="Times New Roman" w:eastAsia="仿宋" w:cs="Times New Roman"/>
                <w:color w:val="FF0000"/>
                <w:kern w:val="0"/>
                <w:sz w:val="21"/>
                <w:szCs w:val="21"/>
              </w:rPr>
            </w:pPr>
          </w:p>
        </w:tc>
        <w:tc>
          <w:tcPr>
            <w:tcW w:w="458" w:type="pct"/>
            <w:vMerge w:val="continue"/>
            <w:vAlign w:val="center"/>
          </w:tcPr>
          <w:p>
            <w:pPr>
              <w:spacing w:line="380" w:lineRule="exact"/>
              <w:jc w:val="center"/>
              <w:rPr>
                <w:rFonts w:hint="default" w:ascii="Times New Roman" w:hAnsi="Times New Roman" w:eastAsia="仿宋" w:cs="Times New Roman"/>
                <w:color w:val="FF0000"/>
                <w:kern w:val="0"/>
                <w:sz w:val="21"/>
                <w:szCs w:val="21"/>
              </w:rPr>
            </w:pPr>
          </w:p>
        </w:tc>
        <w:tc>
          <w:tcPr>
            <w:tcW w:w="949" w:type="pct"/>
            <w:vAlign w:val="center"/>
          </w:tcPr>
          <w:p>
            <w:pPr>
              <w:spacing w:line="380" w:lineRule="exact"/>
              <w:jc w:val="center"/>
              <w:rPr>
                <w:rFonts w:hint="default" w:ascii="Times New Roman" w:hAnsi="Times New Roman" w:eastAsia="仿宋" w:cs="Times New Roman"/>
                <w:color w:val="FF0000"/>
                <w:kern w:val="0"/>
                <w:sz w:val="21"/>
                <w:szCs w:val="21"/>
                <w:lang w:val="en-US" w:eastAsia="zh-CN" w:bidi="ar-SA"/>
              </w:rPr>
            </w:pPr>
            <w:r>
              <w:rPr>
                <w:rFonts w:hint="eastAsia" w:ascii="Times New Roman" w:hAnsi="Times New Roman" w:eastAsia="仿宋"/>
                <w:szCs w:val="21"/>
                <w:highlight w:val="none"/>
                <w:lang w:val="en-US" w:eastAsia="zh-CN"/>
              </w:rPr>
              <w:t>XXX</w:t>
            </w:r>
          </w:p>
        </w:tc>
        <w:tc>
          <w:tcPr>
            <w:tcW w:w="1288" w:type="pct"/>
            <w:gridSpan w:val="3"/>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c>
          <w:tcPr>
            <w:tcW w:w="1685" w:type="pct"/>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spacing w:line="380" w:lineRule="exact"/>
              <w:jc w:val="center"/>
              <w:rPr>
                <w:rFonts w:hint="default" w:ascii="Times New Roman" w:hAnsi="Times New Roman" w:eastAsia="仿宋" w:cs="Times New Roman"/>
                <w:color w:val="FF0000"/>
                <w:kern w:val="0"/>
                <w:sz w:val="21"/>
                <w:szCs w:val="21"/>
              </w:rPr>
            </w:pPr>
          </w:p>
        </w:tc>
        <w:tc>
          <w:tcPr>
            <w:tcW w:w="458" w:type="pct"/>
            <w:vMerge w:val="restart"/>
            <w:vAlign w:val="center"/>
          </w:tcPr>
          <w:p>
            <w:pPr>
              <w:spacing w:line="380" w:lineRule="exact"/>
              <w:jc w:val="center"/>
              <w:rPr>
                <w:rFonts w:hint="default" w:ascii="Times New Roman" w:hAnsi="Times New Roman" w:eastAsia="仿宋" w:cs="Times New Roman"/>
                <w:color w:val="FF0000"/>
                <w:kern w:val="0"/>
                <w:sz w:val="21"/>
                <w:szCs w:val="21"/>
              </w:rPr>
            </w:pPr>
          </w:p>
        </w:tc>
        <w:tc>
          <w:tcPr>
            <w:tcW w:w="949" w:type="pc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报警电话</w:t>
            </w:r>
          </w:p>
        </w:tc>
        <w:tc>
          <w:tcPr>
            <w:tcW w:w="1288" w:type="pct"/>
            <w:gridSpan w:val="3"/>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火警电话</w:t>
            </w:r>
          </w:p>
        </w:tc>
        <w:tc>
          <w:tcPr>
            <w:tcW w:w="1685" w:type="pc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急救电话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spacing w:line="380" w:lineRule="exact"/>
              <w:jc w:val="center"/>
              <w:rPr>
                <w:rFonts w:hint="default" w:ascii="Times New Roman" w:hAnsi="Times New Roman" w:eastAsia="仿宋" w:cs="Times New Roman"/>
                <w:color w:val="FF0000"/>
                <w:kern w:val="0"/>
                <w:sz w:val="21"/>
                <w:szCs w:val="21"/>
              </w:rPr>
            </w:pPr>
          </w:p>
        </w:tc>
        <w:tc>
          <w:tcPr>
            <w:tcW w:w="458" w:type="pct"/>
            <w:vMerge w:val="continue"/>
            <w:vAlign w:val="center"/>
          </w:tcPr>
          <w:p>
            <w:pPr>
              <w:spacing w:line="380" w:lineRule="exact"/>
              <w:jc w:val="center"/>
              <w:rPr>
                <w:rFonts w:hint="default" w:ascii="Times New Roman" w:hAnsi="Times New Roman" w:eastAsia="仿宋" w:cs="Times New Roman"/>
                <w:color w:val="FF0000"/>
                <w:kern w:val="0"/>
                <w:sz w:val="21"/>
                <w:szCs w:val="21"/>
              </w:rPr>
            </w:pPr>
          </w:p>
        </w:tc>
        <w:tc>
          <w:tcPr>
            <w:tcW w:w="949" w:type="pc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110</w:t>
            </w:r>
          </w:p>
        </w:tc>
        <w:tc>
          <w:tcPr>
            <w:tcW w:w="1288" w:type="pct"/>
            <w:gridSpan w:val="3"/>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119</w:t>
            </w:r>
          </w:p>
        </w:tc>
        <w:tc>
          <w:tcPr>
            <w:tcW w:w="1685" w:type="pc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120</w:t>
            </w:r>
          </w:p>
        </w:tc>
      </w:tr>
    </w:tbl>
    <w:p>
      <w:pPr>
        <w:rPr>
          <w:rFonts w:eastAsia="仿宋"/>
          <w:color w:val="FF0000"/>
          <w:szCs w:val="28"/>
        </w:rPr>
      </w:pPr>
      <w:r>
        <w:rPr>
          <w:rFonts w:eastAsia="仿宋"/>
          <w:color w:val="FF0000"/>
          <w:szCs w:val="28"/>
        </w:rPr>
        <w:br w:type="page"/>
      </w:r>
    </w:p>
    <w:p>
      <w:pPr>
        <w:pStyle w:val="95"/>
        <w:keepNext w:val="0"/>
        <w:keepLines w:val="0"/>
        <w:pageBreakBefore w:val="0"/>
        <w:widowControl w:val="0"/>
        <w:kinsoku/>
        <w:wordWrap/>
        <w:overflowPunct/>
        <w:topLinePunct w:val="0"/>
        <w:autoSpaceDE/>
        <w:autoSpaceDN/>
        <w:bidi w:val="0"/>
        <w:adjustRightInd/>
        <w:snapToGrid/>
        <w:spacing w:line="520" w:lineRule="exact"/>
        <w:ind w:firstLine="0" w:firstLineChars="0"/>
        <w:jc w:val="center"/>
        <w:textAlignment w:val="auto"/>
        <w:rPr>
          <w:rFonts w:eastAsia="仿宋"/>
          <w:color w:val="FF0000"/>
          <w:szCs w:val="28"/>
        </w:rPr>
      </w:pPr>
      <w:r>
        <w:rPr>
          <w:rFonts w:hint="eastAsia" w:eastAsia="仿宋"/>
          <w:color w:val="FF0000"/>
          <w:szCs w:val="28"/>
          <w:lang w:eastAsia="zh-CN"/>
        </w:rPr>
        <w:t>四、机修岗位</w:t>
      </w:r>
    </w:p>
    <w:tbl>
      <w:tblPr>
        <w:tblStyle w:val="3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5"/>
        <w:gridCol w:w="821"/>
        <w:gridCol w:w="1701"/>
        <w:gridCol w:w="489"/>
        <w:gridCol w:w="1445"/>
        <w:gridCol w:w="441"/>
        <w:gridCol w:w="29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部门</w:t>
            </w:r>
          </w:p>
        </w:tc>
        <w:tc>
          <w:tcPr>
            <w:tcW w:w="1680" w:type="pct"/>
            <w:gridSpan w:val="3"/>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磷化分厂</w:t>
            </w:r>
          </w:p>
        </w:tc>
        <w:tc>
          <w:tcPr>
            <w:tcW w:w="806"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岗位名称</w:t>
            </w:r>
          </w:p>
        </w:tc>
        <w:tc>
          <w:tcPr>
            <w:tcW w:w="1895" w:type="pct"/>
            <w:gridSpan w:val="2"/>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机修岗位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序号</w:t>
            </w:r>
          </w:p>
        </w:tc>
        <w:tc>
          <w:tcPr>
            <w:tcW w:w="4382" w:type="pct"/>
            <w:gridSpan w:val="6"/>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岗位应急处置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w:t>
            </w:r>
          </w:p>
        </w:tc>
        <w:tc>
          <w:tcPr>
            <w:tcW w:w="4382" w:type="pct"/>
            <w:gridSpan w:val="6"/>
            <w:vAlign w:val="center"/>
          </w:tcPr>
          <w:p>
            <w:pPr>
              <w:spacing w:line="220" w:lineRule="atLeas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触电 ：</w:t>
            </w:r>
            <w:r>
              <w:rPr>
                <w:rFonts w:hint="default" w:ascii="Times New Roman" w:hAnsi="Times New Roman" w:eastAsia="仿宋" w:cs="Times New Roman"/>
                <w:color w:val="FF0000"/>
                <w:sz w:val="21"/>
                <w:szCs w:val="21"/>
              </w:rPr>
              <w:t>立即切断电源或使人体脱离带电体，进行现场急救；同时向上级汇报，送伤者就医。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2</w:t>
            </w:r>
          </w:p>
        </w:tc>
        <w:tc>
          <w:tcPr>
            <w:tcW w:w="4382" w:type="pct"/>
            <w:gridSpan w:val="6"/>
            <w:vAlign w:val="center"/>
          </w:tcPr>
          <w:p>
            <w:pPr>
              <w:spacing w:line="220" w:lineRule="atLeast"/>
              <w:jc w:val="lef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lang w:val="en-US" w:eastAsia="zh-CN"/>
              </w:rPr>
              <w:t>机械伤害</w:t>
            </w:r>
            <w:r>
              <w:rPr>
                <w:rFonts w:hint="default" w:ascii="Times New Roman" w:hAnsi="Times New Roman" w:eastAsia="仿宋" w:cs="Times New Roman"/>
                <w:b/>
                <w:color w:val="FF0000"/>
                <w:sz w:val="21"/>
                <w:szCs w:val="21"/>
              </w:rPr>
              <w:t>：</w:t>
            </w:r>
            <w:r>
              <w:rPr>
                <w:rFonts w:hint="default" w:ascii="Times New Roman" w:hAnsi="Times New Roman" w:eastAsia="仿宋" w:cs="Times New Roman"/>
                <w:color w:val="FF0000"/>
                <w:sz w:val="21"/>
                <w:szCs w:val="21"/>
              </w:rPr>
              <w:t>立即</w:t>
            </w:r>
            <w:r>
              <w:rPr>
                <w:rFonts w:hint="default" w:ascii="Times New Roman" w:hAnsi="Times New Roman" w:eastAsia="仿宋" w:cs="Times New Roman"/>
                <w:color w:val="FF0000"/>
                <w:sz w:val="21"/>
                <w:szCs w:val="21"/>
                <w:lang w:val="en-US" w:eastAsia="zh-CN"/>
              </w:rPr>
              <w:t>使伤者脱离伤害源</w:t>
            </w:r>
            <w:r>
              <w:rPr>
                <w:rFonts w:hint="default" w:ascii="Times New Roman" w:hAnsi="Times New Roman" w:eastAsia="仿宋" w:cs="Times New Roman"/>
                <w:color w:val="FF0000"/>
                <w:sz w:val="21"/>
                <w:szCs w:val="21"/>
              </w:rPr>
              <w:t>，</w:t>
            </w:r>
            <w:r>
              <w:rPr>
                <w:rFonts w:hint="default" w:ascii="Times New Roman" w:hAnsi="Times New Roman" w:eastAsia="仿宋" w:cs="Times New Roman"/>
                <w:color w:val="FF0000"/>
                <w:sz w:val="21"/>
                <w:szCs w:val="21"/>
                <w:lang w:val="en-US" w:eastAsia="zh-CN"/>
              </w:rPr>
              <w:t>进行急救包扎后立即</w:t>
            </w:r>
            <w:r>
              <w:rPr>
                <w:rFonts w:hint="default" w:ascii="Times New Roman" w:hAnsi="Times New Roman" w:eastAsia="仿宋" w:cs="Times New Roman"/>
                <w:color w:val="FF0000"/>
                <w:sz w:val="21"/>
                <w:szCs w:val="21"/>
              </w:rPr>
              <w:t>送医。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3</w:t>
            </w:r>
          </w:p>
        </w:tc>
        <w:tc>
          <w:tcPr>
            <w:tcW w:w="4382" w:type="pct"/>
            <w:gridSpan w:val="6"/>
            <w:vAlign w:val="center"/>
          </w:tcPr>
          <w:p>
            <w:pPr>
              <w:spacing w:line="220" w:lineRule="atLeast"/>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灼烫：</w:t>
            </w:r>
            <w:r>
              <w:rPr>
                <w:rFonts w:hint="default" w:ascii="Times New Roman" w:hAnsi="Times New Roman" w:eastAsia="仿宋" w:cs="Times New Roman"/>
                <w:color w:val="FF0000"/>
                <w:sz w:val="21"/>
                <w:szCs w:val="21"/>
              </w:rPr>
              <w:t>转移至安全地带；用清水清洗降温烫伤部位至少15分钟；伤情严重者送医进一步治疗。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4</w:t>
            </w:r>
          </w:p>
        </w:tc>
        <w:tc>
          <w:tcPr>
            <w:tcW w:w="4382" w:type="pct"/>
            <w:gridSpan w:val="6"/>
            <w:vAlign w:val="center"/>
          </w:tcPr>
          <w:p>
            <w:pPr>
              <w:spacing w:line="220" w:lineRule="atLeas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中毒窒息：</w:t>
            </w:r>
            <w:r>
              <w:rPr>
                <w:rFonts w:hint="default" w:ascii="Times New Roman" w:hAnsi="Times New Roman" w:eastAsia="仿宋" w:cs="Times New Roman"/>
                <w:color w:val="FF0000"/>
                <w:sz w:val="21"/>
                <w:szCs w:val="21"/>
              </w:rPr>
              <w:t>立即停止作业，呼叫岗位人员，报告班组长，通知车间主任；将中毒者转移至安全地带/空气新鲜处；现场急救，联系送医院救治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lang w:val="en-US" w:eastAsia="zh-CN"/>
              </w:rPr>
              <w:t>5</w:t>
            </w:r>
          </w:p>
        </w:tc>
        <w:tc>
          <w:tcPr>
            <w:tcW w:w="4382" w:type="pct"/>
            <w:gridSpan w:val="6"/>
            <w:vAlign w:val="center"/>
          </w:tcPr>
          <w:p>
            <w:pPr>
              <w:spacing w:line="220" w:lineRule="atLeast"/>
              <w:rPr>
                <w:rFonts w:hint="default" w:ascii="Times New Roman" w:hAnsi="Times New Roman" w:eastAsia="仿宋" w:cs="Times New Roman"/>
                <w:b/>
                <w:color w:val="FF0000"/>
                <w:sz w:val="21"/>
                <w:szCs w:val="21"/>
                <w:lang w:val="en-US" w:eastAsia="zh-CN"/>
              </w:rPr>
            </w:pPr>
            <w:r>
              <w:rPr>
                <w:rFonts w:hint="default" w:ascii="Times New Roman" w:hAnsi="Times New Roman" w:eastAsia="仿宋" w:cs="Times New Roman"/>
                <w:b/>
                <w:color w:val="FF0000"/>
                <w:sz w:val="21"/>
                <w:szCs w:val="21"/>
                <w:lang w:val="en-US" w:eastAsia="zh-CN"/>
              </w:rPr>
              <w:t>高处坠落：</w:t>
            </w:r>
            <w:r>
              <w:rPr>
                <w:rFonts w:hint="default" w:ascii="Times New Roman" w:hAnsi="Times New Roman" w:eastAsia="仿宋" w:cs="Times New Roman"/>
                <w:color w:val="FF0000"/>
                <w:sz w:val="21"/>
                <w:szCs w:val="21"/>
                <w:lang w:val="en-US" w:eastAsia="zh-CN"/>
              </w:rPr>
              <w:t>发现人员坠落，第一发现人立即向本班班长报告，视情况采取预案行动，或直接报告医务人员或120；采取急救措施时</w:t>
            </w:r>
            <w:r>
              <w:rPr>
                <w:rFonts w:hint="default" w:ascii="Times New Roman" w:hAnsi="Times New Roman" w:eastAsia="仿宋" w:cs="Times New Roman"/>
                <w:color w:val="FF0000"/>
                <w:sz w:val="21"/>
                <w:szCs w:val="21"/>
              </w:rPr>
              <w:t>首先观察伤者的受伤情况、部位、伤害性质</w:t>
            </w:r>
            <w:r>
              <w:rPr>
                <w:rFonts w:hint="default" w:ascii="Times New Roman" w:hAnsi="Times New Roman" w:eastAsia="仿宋" w:cs="Times New Roman"/>
                <w:color w:val="FF0000"/>
                <w:sz w:val="21"/>
                <w:szCs w:val="21"/>
                <w:lang w:eastAsia="zh-CN"/>
              </w:rPr>
              <w:t>，</w:t>
            </w:r>
            <w:r>
              <w:rPr>
                <w:rFonts w:hint="default" w:ascii="Times New Roman" w:hAnsi="Times New Roman" w:eastAsia="仿宋" w:cs="Times New Roman"/>
                <w:color w:val="FF0000"/>
                <w:sz w:val="21"/>
                <w:szCs w:val="21"/>
                <w:lang w:val="en-US" w:eastAsia="zh-CN"/>
              </w:rPr>
              <w:t>组织救援伤者然后送医。急救必须由专业人员进行，避免发生二次伤害。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lang w:eastAsia="zh-CN"/>
              </w:rPr>
            </w:pPr>
            <w:r>
              <w:rPr>
                <w:rFonts w:hint="default" w:ascii="Times New Roman" w:hAnsi="Times New Roman" w:eastAsia="仿宋" w:cs="Times New Roman"/>
                <w:color w:val="FF0000"/>
                <w:sz w:val="21"/>
                <w:szCs w:val="21"/>
                <w:lang w:val="en-US" w:eastAsia="zh-CN"/>
              </w:rPr>
              <w:t>6</w:t>
            </w:r>
          </w:p>
        </w:tc>
        <w:tc>
          <w:tcPr>
            <w:tcW w:w="4382" w:type="pct"/>
            <w:gridSpan w:val="6"/>
            <w:vAlign w:val="center"/>
          </w:tcPr>
          <w:p>
            <w:pPr>
              <w:widowControl/>
              <w:spacing w:line="380" w:lineRule="exac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火灾、爆炸：</w:t>
            </w:r>
            <w:r>
              <w:rPr>
                <w:rFonts w:hint="default" w:ascii="Times New Roman" w:hAnsi="Times New Roman" w:eastAsia="仿宋" w:cs="Times New Roman"/>
                <w:color w:val="FF0000"/>
                <w:sz w:val="21"/>
                <w:szCs w:val="21"/>
              </w:rPr>
              <w:t>1、立即停止作业，呼叫岗位人员，报告班组长，通知车间主任；2、切断电源和泄漏源，利用现场灭火器灭火，同时对其它未着火的部位进行防护，防止火势扩大；若有人员受伤，抢救伤员脱离现场进行急救；3、若火势扩大立即撤离，对火灾现场进行警戒，疏散周边人员，等待救援；4、抢险人员穿戴必要的应急装备（呼吸器、防护服等）进行灭火；5、做好现场保护等待调查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restar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应急联系电话</w:t>
            </w:r>
          </w:p>
        </w:tc>
        <w:tc>
          <w:tcPr>
            <w:tcW w:w="458" w:type="pct"/>
            <w:vMerge w:val="restar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厂内</w:t>
            </w:r>
          </w:p>
        </w:tc>
        <w:tc>
          <w:tcPr>
            <w:tcW w:w="949" w:type="pct"/>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应急中心</w:t>
            </w:r>
          </w:p>
        </w:tc>
        <w:tc>
          <w:tcPr>
            <w:tcW w:w="1325" w:type="pct"/>
            <w:gridSpan w:val="3"/>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技术负责人</w:t>
            </w:r>
          </w:p>
        </w:tc>
        <w:tc>
          <w:tcPr>
            <w:tcW w:w="1649" w:type="pct"/>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车间负责人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continue"/>
            <w:vAlign w:val="center"/>
          </w:tcPr>
          <w:p>
            <w:pPr>
              <w:widowControl/>
              <w:spacing w:line="380" w:lineRule="exact"/>
              <w:jc w:val="center"/>
              <w:rPr>
                <w:rFonts w:hint="default" w:ascii="Times New Roman" w:hAnsi="Times New Roman" w:eastAsia="仿宋" w:cs="Times New Roman"/>
                <w:color w:val="FF0000"/>
                <w:sz w:val="21"/>
                <w:szCs w:val="21"/>
              </w:rPr>
            </w:pPr>
          </w:p>
        </w:tc>
        <w:tc>
          <w:tcPr>
            <w:tcW w:w="949" w:type="pct"/>
            <w:vAlign w:val="center"/>
          </w:tcPr>
          <w:p>
            <w:pPr>
              <w:spacing w:line="380" w:lineRule="exact"/>
              <w:jc w:val="center"/>
              <w:rPr>
                <w:rFonts w:hint="default" w:ascii="Times New Roman" w:hAnsi="Times New Roman" w:eastAsia="仿宋" w:cs="Times New Roman"/>
                <w:color w:val="FF0000"/>
                <w:kern w:val="0"/>
                <w:sz w:val="21"/>
                <w:szCs w:val="21"/>
                <w:lang w:val="en-US" w:eastAsia="zh-CN" w:bidi="ar-SA"/>
              </w:rPr>
            </w:pPr>
            <w:r>
              <w:rPr>
                <w:rFonts w:hint="eastAsia" w:ascii="Times New Roman" w:hAnsi="Times New Roman" w:eastAsia="仿宋"/>
                <w:szCs w:val="21"/>
                <w:highlight w:val="none"/>
                <w:lang w:val="en-US" w:eastAsia="zh-CN"/>
              </w:rPr>
              <w:t>XXX</w:t>
            </w:r>
          </w:p>
        </w:tc>
        <w:tc>
          <w:tcPr>
            <w:tcW w:w="1325" w:type="pct"/>
            <w:gridSpan w:val="3"/>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c>
          <w:tcPr>
            <w:tcW w:w="1649" w:type="pct"/>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restar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公共</w:t>
            </w:r>
          </w:p>
        </w:tc>
        <w:tc>
          <w:tcPr>
            <w:tcW w:w="94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报警电话</w:t>
            </w:r>
          </w:p>
        </w:tc>
        <w:tc>
          <w:tcPr>
            <w:tcW w:w="1325" w:type="pct"/>
            <w:gridSpan w:val="3"/>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火警电话</w:t>
            </w:r>
          </w:p>
        </w:tc>
        <w:tc>
          <w:tcPr>
            <w:tcW w:w="164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急救电话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continue"/>
            <w:vAlign w:val="center"/>
          </w:tcPr>
          <w:p>
            <w:pPr>
              <w:widowControl/>
              <w:spacing w:line="380" w:lineRule="exact"/>
              <w:jc w:val="center"/>
              <w:rPr>
                <w:rFonts w:hint="default" w:ascii="Times New Roman" w:hAnsi="Times New Roman" w:eastAsia="仿宋" w:cs="Times New Roman"/>
                <w:color w:val="FF0000"/>
                <w:sz w:val="21"/>
                <w:szCs w:val="21"/>
              </w:rPr>
            </w:pPr>
          </w:p>
        </w:tc>
        <w:tc>
          <w:tcPr>
            <w:tcW w:w="94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110</w:t>
            </w:r>
          </w:p>
        </w:tc>
        <w:tc>
          <w:tcPr>
            <w:tcW w:w="1325" w:type="pct"/>
            <w:gridSpan w:val="3"/>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119</w:t>
            </w:r>
          </w:p>
        </w:tc>
        <w:tc>
          <w:tcPr>
            <w:tcW w:w="164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120</w:t>
            </w:r>
          </w:p>
        </w:tc>
      </w:tr>
    </w:tbl>
    <w:p>
      <w:pPr>
        <w:rPr>
          <w:rFonts w:eastAsia="仿宋"/>
          <w:color w:val="FF0000"/>
          <w:szCs w:val="28"/>
        </w:rPr>
      </w:pPr>
      <w:r>
        <w:rPr>
          <w:rFonts w:eastAsia="仿宋"/>
          <w:color w:val="FF0000"/>
          <w:szCs w:val="28"/>
        </w:rPr>
        <w:br w:type="page"/>
      </w:r>
    </w:p>
    <w:p>
      <w:pPr>
        <w:pStyle w:val="95"/>
        <w:keepNext w:val="0"/>
        <w:keepLines w:val="0"/>
        <w:pageBreakBefore w:val="0"/>
        <w:widowControl w:val="0"/>
        <w:kinsoku/>
        <w:wordWrap/>
        <w:overflowPunct/>
        <w:topLinePunct w:val="0"/>
        <w:autoSpaceDE/>
        <w:autoSpaceDN/>
        <w:bidi w:val="0"/>
        <w:adjustRightInd/>
        <w:snapToGrid/>
        <w:spacing w:line="520" w:lineRule="exact"/>
        <w:ind w:firstLine="0" w:firstLineChars="0"/>
        <w:jc w:val="center"/>
        <w:textAlignment w:val="auto"/>
        <w:rPr>
          <w:rFonts w:hint="eastAsia" w:ascii="Times New Roman" w:hAnsi="Times New Roman" w:eastAsia="仿宋" w:cs="Times New Roman"/>
          <w:color w:val="FF0000"/>
          <w:szCs w:val="28"/>
          <w:lang w:eastAsia="zh-CN"/>
        </w:rPr>
      </w:pPr>
      <w:r>
        <w:rPr>
          <w:rFonts w:hint="eastAsia" w:ascii="Times New Roman" w:hAnsi="Times New Roman" w:eastAsia="仿宋" w:cs="Times New Roman"/>
          <w:color w:val="FF0000"/>
          <w:szCs w:val="28"/>
          <w:lang w:eastAsia="zh-CN"/>
        </w:rPr>
        <w:t>五、电仪岗位</w:t>
      </w:r>
    </w:p>
    <w:tbl>
      <w:tblPr>
        <w:tblStyle w:val="3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5"/>
        <w:gridCol w:w="821"/>
        <w:gridCol w:w="1701"/>
        <w:gridCol w:w="489"/>
        <w:gridCol w:w="1445"/>
        <w:gridCol w:w="396"/>
        <w:gridCol w:w="3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部门</w:t>
            </w:r>
          </w:p>
        </w:tc>
        <w:tc>
          <w:tcPr>
            <w:tcW w:w="1680" w:type="pct"/>
            <w:gridSpan w:val="3"/>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磷化分厂</w:t>
            </w:r>
          </w:p>
        </w:tc>
        <w:tc>
          <w:tcPr>
            <w:tcW w:w="806"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岗位名称</w:t>
            </w:r>
          </w:p>
        </w:tc>
        <w:tc>
          <w:tcPr>
            <w:tcW w:w="1895" w:type="pct"/>
            <w:gridSpan w:val="2"/>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电仪岗位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序号</w:t>
            </w:r>
          </w:p>
        </w:tc>
        <w:tc>
          <w:tcPr>
            <w:tcW w:w="4382" w:type="pct"/>
            <w:gridSpan w:val="6"/>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岗位应急处置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w:t>
            </w:r>
          </w:p>
        </w:tc>
        <w:tc>
          <w:tcPr>
            <w:tcW w:w="4382" w:type="pct"/>
            <w:gridSpan w:val="6"/>
            <w:vAlign w:val="center"/>
          </w:tcPr>
          <w:p>
            <w:pPr>
              <w:spacing w:line="220" w:lineRule="atLeas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触电 ：</w:t>
            </w:r>
            <w:r>
              <w:rPr>
                <w:rFonts w:hint="default" w:ascii="Times New Roman" w:hAnsi="Times New Roman" w:eastAsia="仿宋" w:cs="Times New Roman"/>
                <w:color w:val="FF0000"/>
                <w:sz w:val="21"/>
                <w:szCs w:val="21"/>
              </w:rPr>
              <w:t>先断开设备电源，然后在接触配电设备时，首先用试电笔测试设备表面是否带电，防止触电。发生触电，立即切断电源或使人体脱离带电体，进行现场急救；同时向上级汇报，送伤者就医。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2</w:t>
            </w:r>
          </w:p>
        </w:tc>
        <w:tc>
          <w:tcPr>
            <w:tcW w:w="4382" w:type="pct"/>
            <w:gridSpan w:val="6"/>
            <w:vAlign w:val="center"/>
          </w:tcPr>
          <w:p>
            <w:pPr>
              <w:spacing w:line="220" w:lineRule="atLeast"/>
              <w:jc w:val="lef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物体打击：</w:t>
            </w:r>
            <w:r>
              <w:rPr>
                <w:rFonts w:hint="default" w:ascii="Times New Roman" w:hAnsi="Times New Roman" w:eastAsia="仿宋" w:cs="Times New Roman"/>
                <w:color w:val="FF0000"/>
                <w:sz w:val="21"/>
                <w:szCs w:val="21"/>
              </w:rPr>
              <w:t>立即停止作业，救助伤员，及时送医。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3</w:t>
            </w:r>
          </w:p>
        </w:tc>
        <w:tc>
          <w:tcPr>
            <w:tcW w:w="4382" w:type="pct"/>
            <w:gridSpan w:val="6"/>
            <w:vAlign w:val="center"/>
          </w:tcPr>
          <w:p>
            <w:pPr>
              <w:spacing w:line="220" w:lineRule="atLeast"/>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灼烫：</w:t>
            </w:r>
            <w:r>
              <w:rPr>
                <w:rFonts w:hint="default" w:ascii="Times New Roman" w:hAnsi="Times New Roman" w:eastAsia="仿宋" w:cs="Times New Roman"/>
                <w:color w:val="FF0000"/>
                <w:sz w:val="21"/>
                <w:szCs w:val="21"/>
              </w:rPr>
              <w:t>转移至安全地带；用清水清洗降温烫伤部位至少15分钟；伤情严重者送医进一步治疗。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4</w:t>
            </w:r>
          </w:p>
        </w:tc>
        <w:tc>
          <w:tcPr>
            <w:tcW w:w="4382" w:type="pct"/>
            <w:gridSpan w:val="6"/>
            <w:vAlign w:val="center"/>
          </w:tcPr>
          <w:p>
            <w:pPr>
              <w:spacing w:line="220" w:lineRule="atLeas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中毒窒息：</w:t>
            </w:r>
            <w:r>
              <w:rPr>
                <w:rFonts w:hint="default" w:ascii="Times New Roman" w:hAnsi="Times New Roman" w:eastAsia="仿宋" w:cs="Times New Roman"/>
                <w:color w:val="FF0000"/>
                <w:sz w:val="21"/>
                <w:szCs w:val="21"/>
              </w:rPr>
              <w:t>立即停止作业，呼叫岗位人员，报告班组长，通知车间主任；将中毒者转移至安全地带/空气新鲜处；现场急救，联系送医院救治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lang w:val="en-US" w:eastAsia="zh-CN"/>
              </w:rPr>
              <w:t>5</w:t>
            </w:r>
          </w:p>
        </w:tc>
        <w:tc>
          <w:tcPr>
            <w:tcW w:w="4382" w:type="pct"/>
            <w:gridSpan w:val="6"/>
            <w:vAlign w:val="center"/>
          </w:tcPr>
          <w:p>
            <w:pPr>
              <w:spacing w:line="220" w:lineRule="atLeast"/>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lang w:val="en-US" w:eastAsia="zh-CN"/>
              </w:rPr>
              <w:t>高处坠落：</w:t>
            </w:r>
            <w:r>
              <w:rPr>
                <w:rFonts w:hint="default" w:ascii="Times New Roman" w:hAnsi="Times New Roman" w:eastAsia="仿宋" w:cs="Times New Roman"/>
                <w:color w:val="FF0000"/>
                <w:sz w:val="21"/>
                <w:szCs w:val="21"/>
                <w:lang w:val="en-US" w:eastAsia="zh-CN"/>
              </w:rPr>
              <w:t>发现人员坠落，第一发现人立即向本班班长报告，视情况采取预案行动，或直接报告医务人员或120；采取急救措施时</w:t>
            </w:r>
            <w:r>
              <w:rPr>
                <w:rFonts w:hint="default" w:ascii="Times New Roman" w:hAnsi="Times New Roman" w:eastAsia="仿宋" w:cs="Times New Roman"/>
                <w:color w:val="FF0000"/>
                <w:sz w:val="21"/>
                <w:szCs w:val="21"/>
              </w:rPr>
              <w:t>首先观察伤者的受伤情况、部位、伤害性质</w:t>
            </w:r>
            <w:r>
              <w:rPr>
                <w:rFonts w:hint="default" w:ascii="Times New Roman" w:hAnsi="Times New Roman" w:eastAsia="仿宋" w:cs="Times New Roman"/>
                <w:color w:val="FF0000"/>
                <w:sz w:val="21"/>
                <w:szCs w:val="21"/>
                <w:lang w:eastAsia="zh-CN"/>
              </w:rPr>
              <w:t>，</w:t>
            </w:r>
            <w:r>
              <w:rPr>
                <w:rFonts w:hint="default" w:ascii="Times New Roman" w:hAnsi="Times New Roman" w:eastAsia="仿宋" w:cs="Times New Roman"/>
                <w:color w:val="FF0000"/>
                <w:sz w:val="21"/>
                <w:szCs w:val="21"/>
                <w:lang w:val="en-US" w:eastAsia="zh-CN"/>
              </w:rPr>
              <w:t>组织救援伤者然后送医。急救必须由专业人员进行，避免发生二次伤害。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lang w:eastAsia="zh-CN"/>
              </w:rPr>
            </w:pPr>
            <w:r>
              <w:rPr>
                <w:rFonts w:hint="default" w:ascii="Times New Roman" w:hAnsi="Times New Roman" w:eastAsia="仿宋" w:cs="Times New Roman"/>
                <w:color w:val="FF0000"/>
                <w:sz w:val="21"/>
                <w:szCs w:val="21"/>
                <w:lang w:val="en-US" w:eastAsia="zh-CN"/>
              </w:rPr>
              <w:t>6</w:t>
            </w:r>
          </w:p>
        </w:tc>
        <w:tc>
          <w:tcPr>
            <w:tcW w:w="4382" w:type="pct"/>
            <w:gridSpan w:val="6"/>
            <w:vAlign w:val="center"/>
          </w:tcPr>
          <w:p>
            <w:pPr>
              <w:widowControl/>
              <w:spacing w:line="380" w:lineRule="exac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火灾、爆炸：</w:t>
            </w:r>
            <w:r>
              <w:rPr>
                <w:rFonts w:hint="default" w:ascii="Times New Roman" w:hAnsi="Times New Roman" w:eastAsia="仿宋" w:cs="Times New Roman"/>
                <w:color w:val="FF0000"/>
                <w:sz w:val="21"/>
                <w:szCs w:val="21"/>
              </w:rPr>
              <w:t>1、立即停止作业，呼叫岗位人员，报告班组长，通知车间主任；2、切断电源和泄漏源，利用现场灭火器灭火，同时对其它未着火的部位进行防护，防止火势扩大；若有人员受伤，抢救伤员脱离现场进行急救；3、若火势扩大立即撤离，对火灾现场进行警戒，疏散周边人员，等待救援；4、抢险人员穿戴必要的应急装备（呼吸器、防护服等）进行灭火；5、做好现场保护等待调查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restar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应急联系电话</w:t>
            </w:r>
          </w:p>
        </w:tc>
        <w:tc>
          <w:tcPr>
            <w:tcW w:w="458" w:type="pct"/>
            <w:vMerge w:val="restar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厂内</w:t>
            </w:r>
          </w:p>
        </w:tc>
        <w:tc>
          <w:tcPr>
            <w:tcW w:w="949" w:type="pct"/>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应急中心</w:t>
            </w:r>
          </w:p>
        </w:tc>
        <w:tc>
          <w:tcPr>
            <w:tcW w:w="1300" w:type="pct"/>
            <w:gridSpan w:val="3"/>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技术负责人</w:t>
            </w:r>
          </w:p>
        </w:tc>
        <w:tc>
          <w:tcPr>
            <w:tcW w:w="1673" w:type="pct"/>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车间负责人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continue"/>
            <w:vAlign w:val="center"/>
          </w:tcPr>
          <w:p>
            <w:pPr>
              <w:widowControl/>
              <w:spacing w:line="380" w:lineRule="exact"/>
              <w:jc w:val="center"/>
              <w:rPr>
                <w:rFonts w:hint="default" w:ascii="Times New Roman" w:hAnsi="Times New Roman" w:eastAsia="仿宋" w:cs="Times New Roman"/>
                <w:color w:val="FF0000"/>
                <w:sz w:val="21"/>
                <w:szCs w:val="21"/>
              </w:rPr>
            </w:pPr>
          </w:p>
        </w:tc>
        <w:tc>
          <w:tcPr>
            <w:tcW w:w="949" w:type="pct"/>
            <w:vAlign w:val="center"/>
          </w:tcPr>
          <w:p>
            <w:pPr>
              <w:spacing w:line="380" w:lineRule="exact"/>
              <w:jc w:val="center"/>
              <w:rPr>
                <w:rFonts w:hint="default" w:ascii="Times New Roman" w:hAnsi="Times New Roman" w:eastAsia="仿宋" w:cs="Times New Roman"/>
                <w:color w:val="FF0000"/>
                <w:kern w:val="0"/>
                <w:sz w:val="21"/>
                <w:szCs w:val="21"/>
                <w:lang w:val="en-US" w:eastAsia="zh-CN" w:bidi="ar-SA"/>
              </w:rPr>
            </w:pPr>
            <w:r>
              <w:rPr>
                <w:rFonts w:hint="eastAsia" w:ascii="Times New Roman" w:hAnsi="Times New Roman" w:eastAsia="仿宋"/>
                <w:szCs w:val="21"/>
                <w:highlight w:val="none"/>
                <w:lang w:val="en-US" w:eastAsia="zh-CN"/>
              </w:rPr>
              <w:t>XXX</w:t>
            </w:r>
          </w:p>
        </w:tc>
        <w:tc>
          <w:tcPr>
            <w:tcW w:w="1300" w:type="pct"/>
            <w:gridSpan w:val="3"/>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c>
          <w:tcPr>
            <w:tcW w:w="1673" w:type="pct"/>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restar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公共</w:t>
            </w:r>
          </w:p>
        </w:tc>
        <w:tc>
          <w:tcPr>
            <w:tcW w:w="94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报警电话</w:t>
            </w:r>
          </w:p>
        </w:tc>
        <w:tc>
          <w:tcPr>
            <w:tcW w:w="1300" w:type="pct"/>
            <w:gridSpan w:val="3"/>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火警电话</w:t>
            </w:r>
          </w:p>
        </w:tc>
        <w:tc>
          <w:tcPr>
            <w:tcW w:w="1673"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急救电话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continue"/>
            <w:vAlign w:val="center"/>
          </w:tcPr>
          <w:p>
            <w:pPr>
              <w:widowControl/>
              <w:spacing w:line="380" w:lineRule="exact"/>
              <w:jc w:val="center"/>
              <w:rPr>
                <w:rFonts w:hint="default" w:ascii="Times New Roman" w:hAnsi="Times New Roman" w:eastAsia="仿宋" w:cs="Times New Roman"/>
                <w:color w:val="FF0000"/>
                <w:sz w:val="21"/>
                <w:szCs w:val="21"/>
              </w:rPr>
            </w:pPr>
          </w:p>
        </w:tc>
        <w:tc>
          <w:tcPr>
            <w:tcW w:w="94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110</w:t>
            </w:r>
          </w:p>
        </w:tc>
        <w:tc>
          <w:tcPr>
            <w:tcW w:w="1300" w:type="pct"/>
            <w:gridSpan w:val="3"/>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119</w:t>
            </w:r>
          </w:p>
        </w:tc>
        <w:tc>
          <w:tcPr>
            <w:tcW w:w="1673"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120</w:t>
            </w:r>
          </w:p>
        </w:tc>
      </w:tr>
    </w:tbl>
    <w:p>
      <w:pPr>
        <w:pStyle w:val="95"/>
        <w:keepNext w:val="0"/>
        <w:keepLines w:val="0"/>
        <w:pageBreakBefore w:val="0"/>
        <w:widowControl w:val="0"/>
        <w:kinsoku/>
        <w:wordWrap/>
        <w:overflowPunct/>
        <w:topLinePunct w:val="0"/>
        <w:autoSpaceDE/>
        <w:autoSpaceDN/>
        <w:bidi w:val="0"/>
        <w:adjustRightInd/>
        <w:snapToGrid/>
        <w:spacing w:line="520" w:lineRule="exact"/>
        <w:ind w:firstLine="0" w:firstLineChars="0"/>
        <w:jc w:val="center"/>
        <w:textAlignment w:val="auto"/>
        <w:rPr>
          <w:rFonts w:hint="eastAsia" w:ascii="Times New Roman" w:hAnsi="Times New Roman" w:eastAsia="仿宋" w:cs="Times New Roman"/>
          <w:color w:val="FF0000"/>
          <w:szCs w:val="28"/>
          <w:lang w:eastAsia="zh-CN"/>
        </w:rPr>
      </w:pPr>
      <w:r>
        <w:rPr>
          <w:rFonts w:eastAsia="仿宋"/>
          <w:szCs w:val="28"/>
        </w:rPr>
        <w:br w:type="page"/>
      </w:r>
      <w:r>
        <w:rPr>
          <w:rFonts w:hint="eastAsia" w:ascii="Times New Roman" w:hAnsi="Times New Roman" w:eastAsia="仿宋" w:cs="Times New Roman"/>
          <w:color w:val="FF0000"/>
          <w:szCs w:val="28"/>
          <w:lang w:eastAsia="zh-CN"/>
        </w:rPr>
        <w:t>六、环保站岗位</w:t>
      </w:r>
    </w:p>
    <w:tbl>
      <w:tblPr>
        <w:tblStyle w:val="3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5"/>
        <w:gridCol w:w="821"/>
        <w:gridCol w:w="1701"/>
        <w:gridCol w:w="489"/>
        <w:gridCol w:w="1445"/>
        <w:gridCol w:w="496"/>
        <w:gridCol w:w="29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部门</w:t>
            </w:r>
          </w:p>
        </w:tc>
        <w:tc>
          <w:tcPr>
            <w:tcW w:w="1680" w:type="pct"/>
            <w:gridSpan w:val="3"/>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磷化分厂</w:t>
            </w:r>
          </w:p>
        </w:tc>
        <w:tc>
          <w:tcPr>
            <w:tcW w:w="806"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岗位名称</w:t>
            </w:r>
          </w:p>
        </w:tc>
        <w:tc>
          <w:tcPr>
            <w:tcW w:w="1895" w:type="pct"/>
            <w:gridSpan w:val="2"/>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环保站岗位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序号</w:t>
            </w:r>
          </w:p>
        </w:tc>
        <w:tc>
          <w:tcPr>
            <w:tcW w:w="4382" w:type="pct"/>
            <w:gridSpan w:val="6"/>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岗位应急处置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w:t>
            </w:r>
          </w:p>
        </w:tc>
        <w:tc>
          <w:tcPr>
            <w:tcW w:w="4382" w:type="pct"/>
            <w:gridSpan w:val="6"/>
            <w:vAlign w:val="center"/>
          </w:tcPr>
          <w:p>
            <w:pPr>
              <w:spacing w:line="220" w:lineRule="atLeas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废水管线泄露：</w:t>
            </w:r>
            <w:r>
              <w:rPr>
                <w:rFonts w:hint="default" w:ascii="Times New Roman" w:hAnsi="Times New Roman" w:eastAsia="仿宋" w:cs="Times New Roman"/>
                <w:color w:val="FF0000"/>
                <w:sz w:val="21"/>
                <w:szCs w:val="21"/>
              </w:rPr>
              <w:t>穿戴好防护用品后，停废水泵，排查漏点。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2</w:t>
            </w:r>
          </w:p>
        </w:tc>
        <w:tc>
          <w:tcPr>
            <w:tcW w:w="4382" w:type="pct"/>
            <w:gridSpan w:val="6"/>
            <w:vAlign w:val="center"/>
          </w:tcPr>
          <w:p>
            <w:pPr>
              <w:spacing w:line="220" w:lineRule="atLeas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中和反应剧烈发生喷溅：</w:t>
            </w:r>
            <w:r>
              <w:rPr>
                <w:rFonts w:hint="default" w:ascii="Times New Roman" w:hAnsi="Times New Roman" w:eastAsia="仿宋" w:cs="Times New Roman"/>
                <w:color w:val="FF0000"/>
                <w:sz w:val="21"/>
                <w:szCs w:val="21"/>
              </w:rPr>
              <w:t>立即到安全地方用水冲洗喷溅部位，严重的安排就医。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3</w:t>
            </w:r>
          </w:p>
        </w:tc>
        <w:tc>
          <w:tcPr>
            <w:tcW w:w="4382" w:type="pct"/>
            <w:gridSpan w:val="6"/>
            <w:vAlign w:val="center"/>
          </w:tcPr>
          <w:p>
            <w:pPr>
              <w:spacing w:line="220" w:lineRule="atLeas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停电、停水：</w:t>
            </w:r>
            <w:r>
              <w:rPr>
                <w:rFonts w:hint="default" w:ascii="Times New Roman" w:hAnsi="Times New Roman" w:eastAsia="仿宋" w:cs="Times New Roman"/>
                <w:color w:val="FF0000"/>
                <w:sz w:val="21"/>
                <w:szCs w:val="21"/>
              </w:rPr>
              <w:t>关闭废水进中和反应池阀，关闭排放池出口阀。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4</w:t>
            </w:r>
          </w:p>
        </w:tc>
        <w:tc>
          <w:tcPr>
            <w:tcW w:w="4382" w:type="pct"/>
            <w:gridSpan w:val="6"/>
            <w:vAlign w:val="center"/>
          </w:tcPr>
          <w:p>
            <w:pPr>
              <w:widowControl/>
              <w:spacing w:line="380" w:lineRule="exac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中毒</w:t>
            </w:r>
            <w:r>
              <w:rPr>
                <w:rFonts w:hint="default" w:ascii="Times New Roman" w:hAnsi="Times New Roman" w:eastAsia="仿宋" w:cs="Times New Roman"/>
                <w:color w:val="FF0000"/>
                <w:sz w:val="21"/>
                <w:szCs w:val="21"/>
              </w:rPr>
              <w:t>：立即停止作业，呼叫岗位人员，报告班组长，通知车间主任；将中毒者转移至安全地带/空气新鲜处；现场急救，联系送医院救治。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5</w:t>
            </w:r>
          </w:p>
        </w:tc>
        <w:tc>
          <w:tcPr>
            <w:tcW w:w="4382" w:type="pct"/>
            <w:gridSpan w:val="6"/>
            <w:vAlign w:val="center"/>
          </w:tcPr>
          <w:p>
            <w:pPr>
              <w:widowControl/>
              <w:spacing w:line="380" w:lineRule="exac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火灾：</w:t>
            </w:r>
            <w:r>
              <w:rPr>
                <w:rFonts w:hint="default" w:ascii="Times New Roman" w:hAnsi="Times New Roman" w:eastAsia="仿宋" w:cs="Times New Roman"/>
                <w:color w:val="FF0000"/>
                <w:sz w:val="21"/>
                <w:szCs w:val="21"/>
              </w:rPr>
              <w:t>1、立即停止作业，呼叫岗位人员，报告班组长，通知车间主任；2、切断电源和泄漏源，利用现场灭火器灭火，同时对其它未着火的部位进行防护，防止火势扩大；若有人员受伤，抢救伤员脱离现场进行急救；3、若火势扩大立即撤离，对火灾现场进行警戒，疏散周边人员，等待救援；4、抢险人员穿戴必要的应急装备（呼吸器、防护服等）进行灭火；5、做好现场保护等待调查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restar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应急联系电话</w:t>
            </w:r>
          </w:p>
        </w:tc>
        <w:tc>
          <w:tcPr>
            <w:tcW w:w="458" w:type="pct"/>
            <w:vMerge w:val="restar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厂内</w:t>
            </w:r>
          </w:p>
        </w:tc>
        <w:tc>
          <w:tcPr>
            <w:tcW w:w="949" w:type="pct"/>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应急中心</w:t>
            </w:r>
          </w:p>
        </w:tc>
        <w:tc>
          <w:tcPr>
            <w:tcW w:w="1356" w:type="pct"/>
            <w:gridSpan w:val="3"/>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技术负责人</w:t>
            </w:r>
          </w:p>
        </w:tc>
        <w:tc>
          <w:tcPr>
            <w:tcW w:w="1618" w:type="pct"/>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车间负责人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continue"/>
            <w:vAlign w:val="center"/>
          </w:tcPr>
          <w:p>
            <w:pPr>
              <w:widowControl/>
              <w:spacing w:line="380" w:lineRule="exact"/>
              <w:jc w:val="center"/>
              <w:rPr>
                <w:rFonts w:hint="default" w:ascii="Times New Roman" w:hAnsi="Times New Roman" w:eastAsia="仿宋" w:cs="Times New Roman"/>
                <w:color w:val="FF0000"/>
                <w:sz w:val="21"/>
                <w:szCs w:val="21"/>
              </w:rPr>
            </w:pPr>
          </w:p>
        </w:tc>
        <w:tc>
          <w:tcPr>
            <w:tcW w:w="949" w:type="pct"/>
            <w:vAlign w:val="center"/>
          </w:tcPr>
          <w:p>
            <w:pPr>
              <w:spacing w:line="380" w:lineRule="exact"/>
              <w:jc w:val="center"/>
              <w:rPr>
                <w:rFonts w:hint="default" w:ascii="Times New Roman" w:hAnsi="Times New Roman" w:eastAsia="仿宋" w:cs="Times New Roman"/>
                <w:color w:val="FF0000"/>
                <w:kern w:val="0"/>
                <w:sz w:val="21"/>
                <w:szCs w:val="21"/>
                <w:lang w:val="en-US" w:eastAsia="zh-CN" w:bidi="ar-SA"/>
              </w:rPr>
            </w:pPr>
            <w:r>
              <w:rPr>
                <w:rFonts w:hint="eastAsia" w:ascii="Times New Roman" w:hAnsi="Times New Roman" w:eastAsia="仿宋"/>
                <w:szCs w:val="21"/>
                <w:highlight w:val="none"/>
                <w:lang w:val="en-US" w:eastAsia="zh-CN"/>
              </w:rPr>
              <w:t>XXX</w:t>
            </w:r>
          </w:p>
        </w:tc>
        <w:tc>
          <w:tcPr>
            <w:tcW w:w="1356" w:type="pct"/>
            <w:gridSpan w:val="3"/>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c>
          <w:tcPr>
            <w:tcW w:w="1618" w:type="pct"/>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restar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公共</w:t>
            </w:r>
          </w:p>
        </w:tc>
        <w:tc>
          <w:tcPr>
            <w:tcW w:w="94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报警电话</w:t>
            </w:r>
          </w:p>
        </w:tc>
        <w:tc>
          <w:tcPr>
            <w:tcW w:w="1356" w:type="pct"/>
            <w:gridSpan w:val="3"/>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火警电话</w:t>
            </w:r>
          </w:p>
        </w:tc>
        <w:tc>
          <w:tcPr>
            <w:tcW w:w="1618"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急救电话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continue"/>
            <w:vAlign w:val="center"/>
          </w:tcPr>
          <w:p>
            <w:pPr>
              <w:widowControl/>
              <w:spacing w:line="380" w:lineRule="exact"/>
              <w:jc w:val="center"/>
              <w:rPr>
                <w:rFonts w:hint="default" w:ascii="Times New Roman" w:hAnsi="Times New Roman" w:eastAsia="仿宋" w:cs="Times New Roman"/>
                <w:color w:val="FF0000"/>
                <w:sz w:val="21"/>
                <w:szCs w:val="21"/>
              </w:rPr>
            </w:pPr>
          </w:p>
        </w:tc>
        <w:tc>
          <w:tcPr>
            <w:tcW w:w="94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110</w:t>
            </w:r>
          </w:p>
        </w:tc>
        <w:tc>
          <w:tcPr>
            <w:tcW w:w="1356" w:type="pct"/>
            <w:gridSpan w:val="3"/>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119</w:t>
            </w:r>
          </w:p>
        </w:tc>
        <w:tc>
          <w:tcPr>
            <w:tcW w:w="1618"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120</w:t>
            </w:r>
          </w:p>
        </w:tc>
      </w:tr>
    </w:tbl>
    <w:p>
      <w:pPr>
        <w:rPr>
          <w:rFonts w:eastAsia="仿宋"/>
          <w:szCs w:val="28"/>
        </w:rPr>
      </w:pPr>
      <w:r>
        <w:rPr>
          <w:rFonts w:eastAsia="仿宋"/>
          <w:szCs w:val="28"/>
        </w:rPr>
        <w:br w:type="page"/>
      </w:r>
    </w:p>
    <w:p>
      <w:pPr>
        <w:pStyle w:val="95"/>
        <w:keepNext w:val="0"/>
        <w:keepLines w:val="0"/>
        <w:pageBreakBefore w:val="0"/>
        <w:widowControl w:val="0"/>
        <w:kinsoku/>
        <w:wordWrap/>
        <w:overflowPunct/>
        <w:topLinePunct w:val="0"/>
        <w:autoSpaceDE/>
        <w:autoSpaceDN/>
        <w:bidi w:val="0"/>
        <w:adjustRightInd/>
        <w:snapToGrid/>
        <w:spacing w:line="520" w:lineRule="exact"/>
        <w:ind w:firstLine="0" w:firstLineChars="0"/>
        <w:jc w:val="center"/>
        <w:textAlignment w:val="auto"/>
        <w:rPr>
          <w:rFonts w:hint="eastAsia" w:ascii="Times New Roman" w:hAnsi="Times New Roman" w:eastAsia="仿宋" w:cs="Times New Roman"/>
          <w:color w:val="FF0000"/>
          <w:szCs w:val="28"/>
          <w:lang w:eastAsia="zh-CN"/>
        </w:rPr>
      </w:pPr>
      <w:r>
        <w:rPr>
          <w:rFonts w:hint="eastAsia" w:ascii="Times New Roman" w:hAnsi="Times New Roman" w:eastAsia="仿宋" w:cs="Times New Roman"/>
          <w:color w:val="FF0000"/>
          <w:szCs w:val="28"/>
          <w:lang w:eastAsia="zh-CN"/>
        </w:rPr>
        <w:t>七、包装岗位</w:t>
      </w:r>
    </w:p>
    <w:tbl>
      <w:tblPr>
        <w:tblStyle w:val="3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5"/>
        <w:gridCol w:w="821"/>
        <w:gridCol w:w="1701"/>
        <w:gridCol w:w="489"/>
        <w:gridCol w:w="1445"/>
        <w:gridCol w:w="380"/>
        <w:gridCol w:w="30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部门</w:t>
            </w:r>
          </w:p>
        </w:tc>
        <w:tc>
          <w:tcPr>
            <w:tcW w:w="1680" w:type="pct"/>
            <w:gridSpan w:val="3"/>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磷化分厂</w:t>
            </w:r>
          </w:p>
        </w:tc>
        <w:tc>
          <w:tcPr>
            <w:tcW w:w="806"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岗位名称</w:t>
            </w:r>
          </w:p>
        </w:tc>
        <w:tc>
          <w:tcPr>
            <w:tcW w:w="1895" w:type="pct"/>
            <w:gridSpan w:val="2"/>
            <w:vAlign w:val="center"/>
          </w:tcPr>
          <w:p>
            <w:pPr>
              <w:jc w:val="center"/>
              <w:rPr>
                <w:rFonts w:hint="default" w:ascii="Times New Roman" w:hAnsi="Times New Roman" w:eastAsia="仿宋" w:cs="Times New Roman"/>
                <w:b/>
                <w:color w:val="FF0000"/>
                <w:sz w:val="21"/>
                <w:szCs w:val="21"/>
                <w:lang w:eastAsia="zh-CN"/>
              </w:rPr>
            </w:pPr>
            <w:r>
              <w:rPr>
                <w:rFonts w:hint="default" w:ascii="Times New Roman" w:hAnsi="Times New Roman" w:eastAsia="仿宋" w:cs="Times New Roman"/>
                <w:b/>
                <w:color w:val="FF0000"/>
                <w:sz w:val="21"/>
                <w:szCs w:val="21"/>
                <w:lang w:val="en-US" w:eastAsia="zh-CN"/>
              </w:rPr>
              <w:t>包装岗位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序号</w:t>
            </w:r>
          </w:p>
        </w:tc>
        <w:tc>
          <w:tcPr>
            <w:tcW w:w="4382" w:type="pct"/>
            <w:gridSpan w:val="6"/>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岗位应急处置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lang w:val="en-US" w:eastAsia="zh-CN"/>
              </w:rPr>
              <w:t>1</w:t>
            </w:r>
          </w:p>
        </w:tc>
        <w:tc>
          <w:tcPr>
            <w:tcW w:w="4382" w:type="pct"/>
            <w:gridSpan w:val="6"/>
            <w:vAlign w:val="center"/>
          </w:tcPr>
          <w:p>
            <w:pPr>
              <w:widowControl/>
              <w:spacing w:line="380" w:lineRule="exact"/>
              <w:jc w:val="both"/>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lang w:val="en-US" w:eastAsia="zh-CN"/>
              </w:rPr>
              <w:t>皮肤或眼睛接触五氯化磷：</w:t>
            </w:r>
            <w:r>
              <w:rPr>
                <w:rFonts w:hint="default" w:ascii="Times New Roman" w:hAnsi="Times New Roman" w:eastAsia="仿宋" w:cs="Times New Roman"/>
                <w:b w:val="0"/>
                <w:bCs/>
                <w:color w:val="FF0000"/>
                <w:sz w:val="21"/>
                <w:szCs w:val="21"/>
                <w:lang w:val="en-US" w:eastAsia="zh-CN"/>
              </w:rPr>
              <w:t>皮肤接触：</w:t>
            </w:r>
            <w:r>
              <w:rPr>
                <w:rFonts w:hint="default" w:ascii="Times New Roman" w:hAnsi="Times New Roman" w:eastAsia="仿宋" w:cs="Times New Roman"/>
                <w:color w:val="FF0000"/>
                <w:sz w:val="21"/>
                <w:szCs w:val="21"/>
              </w:rPr>
              <w:t>立即脱去污染的衣着，用大量流动清水冲洗至少15分钟。就医。</w:t>
            </w:r>
          </w:p>
          <w:p>
            <w:pPr>
              <w:widowControl/>
              <w:spacing w:line="380" w:lineRule="exact"/>
              <w:jc w:val="both"/>
              <w:rPr>
                <w:rFonts w:hint="default" w:ascii="Times New Roman" w:hAnsi="Times New Roman" w:eastAsia="仿宋" w:cs="Times New Roman"/>
                <w:b/>
                <w:color w:val="FF0000"/>
                <w:sz w:val="21"/>
                <w:szCs w:val="21"/>
                <w:lang w:val="en-US" w:eastAsia="zh-CN"/>
              </w:rPr>
            </w:pPr>
            <w:r>
              <w:rPr>
                <w:rFonts w:hint="default" w:ascii="Times New Roman" w:hAnsi="Times New Roman" w:eastAsia="仿宋" w:cs="Times New Roman"/>
                <w:color w:val="FF0000"/>
                <w:sz w:val="21"/>
                <w:szCs w:val="21"/>
                <w:lang w:val="en-US" w:eastAsia="zh-CN"/>
              </w:rPr>
              <w:t>眼睛接触：</w:t>
            </w:r>
            <w:r>
              <w:rPr>
                <w:rFonts w:hint="default" w:ascii="Times New Roman" w:hAnsi="Times New Roman" w:eastAsia="仿宋" w:cs="Times New Roman"/>
                <w:color w:val="FF0000"/>
                <w:sz w:val="21"/>
                <w:szCs w:val="21"/>
              </w:rPr>
              <w:t>立即提起眼睑，用大量流动清水或生理盐水彻底冲洗至少15分钟。就医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kern w:val="2"/>
                <w:sz w:val="21"/>
                <w:szCs w:val="21"/>
                <w:lang w:val="en-US" w:eastAsia="zh-CN" w:bidi="ar-SA"/>
              </w:rPr>
            </w:pPr>
            <w:r>
              <w:rPr>
                <w:rFonts w:hint="default" w:ascii="Times New Roman" w:hAnsi="Times New Roman" w:eastAsia="仿宋" w:cs="Times New Roman"/>
                <w:color w:val="FF0000"/>
                <w:sz w:val="21"/>
                <w:szCs w:val="21"/>
                <w:lang w:val="en-US" w:eastAsia="zh-CN"/>
              </w:rPr>
              <w:t>2</w:t>
            </w:r>
          </w:p>
        </w:tc>
        <w:tc>
          <w:tcPr>
            <w:tcW w:w="4382" w:type="pct"/>
            <w:gridSpan w:val="6"/>
            <w:vAlign w:val="center"/>
          </w:tcPr>
          <w:p>
            <w:pPr>
              <w:widowControl/>
              <w:spacing w:line="380" w:lineRule="exact"/>
              <w:jc w:val="both"/>
              <w:rPr>
                <w:rFonts w:hint="default" w:ascii="Times New Roman" w:hAnsi="Times New Roman" w:eastAsia="仿宋" w:cs="Times New Roman"/>
                <w:b/>
                <w:color w:val="FF0000"/>
                <w:sz w:val="21"/>
                <w:szCs w:val="21"/>
                <w:lang w:val="en-US" w:eastAsia="zh-CN"/>
              </w:rPr>
            </w:pPr>
            <w:r>
              <w:rPr>
                <w:rFonts w:hint="default" w:ascii="Times New Roman" w:hAnsi="Times New Roman" w:eastAsia="仿宋" w:cs="Times New Roman"/>
                <w:b/>
                <w:color w:val="FF0000"/>
                <w:sz w:val="21"/>
                <w:szCs w:val="21"/>
                <w:lang w:val="en-US" w:eastAsia="zh-CN"/>
              </w:rPr>
              <w:t>高处坠落：</w:t>
            </w:r>
            <w:r>
              <w:rPr>
                <w:rFonts w:hint="default" w:ascii="Times New Roman" w:hAnsi="Times New Roman" w:eastAsia="仿宋" w:cs="Times New Roman"/>
                <w:color w:val="FF0000"/>
                <w:sz w:val="21"/>
                <w:szCs w:val="21"/>
                <w:lang w:val="en-US" w:eastAsia="zh-CN"/>
              </w:rPr>
              <w:t>发现人员坠落，第一发现人立即向本班班长报告，视情况采取预案行动，或直接报告医务人员或120；采取急救措施时</w:t>
            </w:r>
            <w:r>
              <w:rPr>
                <w:rFonts w:hint="default" w:ascii="Times New Roman" w:hAnsi="Times New Roman" w:eastAsia="仿宋" w:cs="Times New Roman"/>
                <w:color w:val="FF0000"/>
                <w:sz w:val="21"/>
                <w:szCs w:val="21"/>
              </w:rPr>
              <w:t>首先观察伤者的受伤情况、部位、伤害性质</w:t>
            </w:r>
            <w:r>
              <w:rPr>
                <w:rFonts w:hint="default" w:ascii="Times New Roman" w:hAnsi="Times New Roman" w:eastAsia="仿宋" w:cs="Times New Roman"/>
                <w:color w:val="FF0000"/>
                <w:sz w:val="21"/>
                <w:szCs w:val="21"/>
                <w:lang w:eastAsia="zh-CN"/>
              </w:rPr>
              <w:t>，</w:t>
            </w:r>
            <w:r>
              <w:rPr>
                <w:rFonts w:hint="default" w:ascii="Times New Roman" w:hAnsi="Times New Roman" w:eastAsia="仿宋" w:cs="Times New Roman"/>
                <w:color w:val="FF0000"/>
                <w:sz w:val="21"/>
                <w:szCs w:val="21"/>
                <w:lang w:val="en-US" w:eastAsia="zh-CN"/>
              </w:rPr>
              <w:t>组织救援伤者然后送医。急救必须由专业人员进行，避免发生二次伤害。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kern w:val="2"/>
                <w:sz w:val="21"/>
                <w:szCs w:val="21"/>
                <w:lang w:val="en-US" w:eastAsia="zh-CN" w:bidi="ar-SA"/>
              </w:rPr>
            </w:pPr>
            <w:r>
              <w:rPr>
                <w:rFonts w:hint="default" w:ascii="Times New Roman" w:hAnsi="Times New Roman" w:eastAsia="仿宋" w:cs="Times New Roman"/>
                <w:color w:val="FF0000"/>
                <w:sz w:val="21"/>
                <w:szCs w:val="21"/>
                <w:lang w:val="en-US" w:eastAsia="zh-CN"/>
              </w:rPr>
              <w:t>3</w:t>
            </w:r>
          </w:p>
        </w:tc>
        <w:tc>
          <w:tcPr>
            <w:tcW w:w="4382" w:type="pct"/>
            <w:gridSpan w:val="6"/>
            <w:vAlign w:val="center"/>
          </w:tcPr>
          <w:p>
            <w:pPr>
              <w:widowControl/>
              <w:spacing w:line="380" w:lineRule="exact"/>
              <w:jc w:val="both"/>
              <w:rPr>
                <w:rFonts w:hint="default" w:ascii="Times New Roman" w:hAnsi="Times New Roman" w:eastAsia="仿宋" w:cs="Times New Roman"/>
                <w:b/>
                <w:color w:val="FF0000"/>
                <w:sz w:val="21"/>
                <w:szCs w:val="21"/>
                <w:lang w:val="en-US" w:eastAsia="zh-CN"/>
              </w:rPr>
            </w:pPr>
            <w:r>
              <w:rPr>
                <w:rFonts w:hint="default" w:ascii="Times New Roman" w:hAnsi="Times New Roman" w:eastAsia="仿宋" w:cs="Times New Roman"/>
                <w:b/>
                <w:color w:val="FF0000"/>
                <w:sz w:val="21"/>
                <w:szCs w:val="21"/>
                <w:lang w:val="en-US" w:eastAsia="zh-CN"/>
              </w:rPr>
              <w:t>机械伤害：</w:t>
            </w:r>
            <w:r>
              <w:rPr>
                <w:rFonts w:hint="default" w:ascii="Times New Roman" w:hAnsi="Times New Roman" w:eastAsia="仿宋" w:cs="Times New Roman"/>
                <w:color w:val="FF0000"/>
                <w:sz w:val="21"/>
                <w:szCs w:val="21"/>
              </w:rPr>
              <w:t>立即</w:t>
            </w:r>
            <w:r>
              <w:rPr>
                <w:rFonts w:hint="default" w:ascii="Times New Roman" w:hAnsi="Times New Roman" w:eastAsia="仿宋" w:cs="Times New Roman"/>
                <w:color w:val="FF0000"/>
                <w:sz w:val="21"/>
                <w:szCs w:val="21"/>
                <w:lang w:val="en-US" w:eastAsia="zh-CN"/>
              </w:rPr>
              <w:t>使伤者脱离伤害源</w:t>
            </w:r>
            <w:r>
              <w:rPr>
                <w:rFonts w:hint="default" w:ascii="Times New Roman" w:hAnsi="Times New Roman" w:eastAsia="仿宋" w:cs="Times New Roman"/>
                <w:color w:val="FF0000"/>
                <w:sz w:val="21"/>
                <w:szCs w:val="21"/>
              </w:rPr>
              <w:t>，</w:t>
            </w:r>
            <w:r>
              <w:rPr>
                <w:rFonts w:hint="default" w:ascii="Times New Roman" w:hAnsi="Times New Roman" w:eastAsia="仿宋" w:cs="Times New Roman"/>
                <w:color w:val="FF0000"/>
                <w:sz w:val="21"/>
                <w:szCs w:val="21"/>
                <w:lang w:val="en-US" w:eastAsia="zh-CN"/>
              </w:rPr>
              <w:t>进行急救包扎后立即</w:t>
            </w:r>
            <w:r>
              <w:rPr>
                <w:rFonts w:hint="default" w:ascii="Times New Roman" w:hAnsi="Times New Roman" w:eastAsia="仿宋" w:cs="Times New Roman"/>
                <w:color w:val="FF0000"/>
                <w:sz w:val="21"/>
                <w:szCs w:val="21"/>
              </w:rPr>
              <w:t>送医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lang w:val="en-US" w:eastAsia="zh-CN"/>
              </w:rPr>
              <w:t>4</w:t>
            </w:r>
          </w:p>
        </w:tc>
        <w:tc>
          <w:tcPr>
            <w:tcW w:w="4382" w:type="pct"/>
            <w:gridSpan w:val="6"/>
            <w:vAlign w:val="center"/>
          </w:tcPr>
          <w:p>
            <w:pPr>
              <w:widowControl/>
              <w:spacing w:line="380" w:lineRule="exact"/>
              <w:jc w:val="both"/>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lang w:val="en-US" w:eastAsia="zh-CN"/>
              </w:rPr>
              <w:t>中毒：</w:t>
            </w:r>
            <w:r>
              <w:rPr>
                <w:rFonts w:hint="default" w:ascii="Times New Roman" w:hAnsi="Times New Roman" w:eastAsia="仿宋" w:cs="Times New Roman"/>
                <w:color w:val="FF0000"/>
                <w:sz w:val="21"/>
                <w:szCs w:val="21"/>
              </w:rPr>
              <w:t>吸入时迅速脱离现场至空气新鲜处，保持呼吸通畅，如呼吸困难给输氧；如呼吸停止，立即进行人工呼吸，就医</w:t>
            </w:r>
            <w:r>
              <w:rPr>
                <w:rFonts w:hint="default" w:ascii="Times New Roman" w:hAnsi="Times New Roman" w:eastAsia="仿宋" w:cs="Times New Roman"/>
                <w:color w:val="FF0000"/>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lang w:val="en-US" w:eastAsia="zh-CN"/>
              </w:rPr>
              <w:t>5</w:t>
            </w:r>
          </w:p>
        </w:tc>
        <w:tc>
          <w:tcPr>
            <w:tcW w:w="4382" w:type="pct"/>
            <w:gridSpan w:val="6"/>
            <w:vAlign w:val="center"/>
          </w:tcPr>
          <w:p>
            <w:pPr>
              <w:widowControl/>
              <w:spacing w:line="380" w:lineRule="exact"/>
              <w:jc w:val="both"/>
              <w:rPr>
                <w:rFonts w:hint="default" w:ascii="Times New Roman" w:hAnsi="Times New Roman" w:eastAsia="仿宋" w:cs="Times New Roman"/>
                <w:b/>
                <w:color w:val="FF0000"/>
                <w:sz w:val="21"/>
                <w:szCs w:val="21"/>
                <w:lang w:val="en-US" w:eastAsia="zh-CN"/>
              </w:rPr>
            </w:pPr>
            <w:r>
              <w:rPr>
                <w:rFonts w:hint="default" w:ascii="Times New Roman" w:hAnsi="Times New Roman" w:eastAsia="仿宋" w:cs="Times New Roman"/>
                <w:b/>
                <w:color w:val="FF0000"/>
                <w:sz w:val="21"/>
                <w:szCs w:val="21"/>
                <w:lang w:val="en-US" w:eastAsia="zh-CN"/>
              </w:rPr>
              <w:t>车辆伤害：</w:t>
            </w:r>
            <w:r>
              <w:rPr>
                <w:rFonts w:hint="default" w:ascii="Times New Roman" w:hAnsi="Times New Roman" w:eastAsia="仿宋" w:cs="Times New Roman"/>
                <w:color w:val="FF0000"/>
                <w:sz w:val="21"/>
                <w:szCs w:val="21"/>
                <w:lang w:val="en-US" w:eastAsia="zh-CN"/>
              </w:rPr>
              <w:t>小心使伤者脱离伤害源，根据受伤情况进行急救包扎后立即</w:t>
            </w:r>
            <w:r>
              <w:rPr>
                <w:rFonts w:hint="default" w:ascii="Times New Roman" w:hAnsi="Times New Roman" w:eastAsia="仿宋" w:cs="Times New Roman"/>
                <w:color w:val="FF0000"/>
                <w:sz w:val="21"/>
                <w:szCs w:val="21"/>
              </w:rPr>
              <w:t>送医</w:t>
            </w:r>
            <w:r>
              <w:rPr>
                <w:rFonts w:hint="default" w:ascii="Times New Roman" w:hAnsi="Times New Roman" w:eastAsia="仿宋" w:cs="Times New Roman"/>
                <w:color w:val="FF0000"/>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lang w:val="en-US" w:eastAsia="zh-CN"/>
              </w:rPr>
              <w:t>6</w:t>
            </w:r>
          </w:p>
        </w:tc>
        <w:tc>
          <w:tcPr>
            <w:tcW w:w="4382" w:type="pct"/>
            <w:gridSpan w:val="6"/>
            <w:vAlign w:val="center"/>
          </w:tcPr>
          <w:p>
            <w:pPr>
              <w:widowControl/>
              <w:spacing w:line="380" w:lineRule="exact"/>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火灾：</w:t>
            </w:r>
            <w:r>
              <w:rPr>
                <w:rFonts w:hint="default" w:ascii="Times New Roman" w:hAnsi="Times New Roman" w:eastAsia="仿宋" w:cs="Times New Roman"/>
                <w:color w:val="FF0000"/>
                <w:sz w:val="21"/>
                <w:szCs w:val="21"/>
              </w:rPr>
              <w:t>1、立即停止作业，报告班组长，通知车间主任；2、利用</w:t>
            </w:r>
            <w:r>
              <w:rPr>
                <w:rFonts w:hint="default" w:ascii="Times New Roman" w:hAnsi="Times New Roman" w:eastAsia="仿宋" w:cs="Times New Roman"/>
                <w:color w:val="FF0000"/>
                <w:sz w:val="21"/>
                <w:szCs w:val="21"/>
                <w:lang w:val="en-US" w:eastAsia="zh-CN"/>
              </w:rPr>
              <w:t>干粉灭火器或沙土</w:t>
            </w:r>
            <w:r>
              <w:rPr>
                <w:rFonts w:hint="default" w:ascii="Times New Roman" w:hAnsi="Times New Roman" w:eastAsia="仿宋" w:cs="Times New Roman"/>
                <w:color w:val="FF0000"/>
                <w:sz w:val="21"/>
                <w:szCs w:val="21"/>
              </w:rPr>
              <w:t>灭火</w:t>
            </w:r>
            <w:r>
              <w:rPr>
                <w:rFonts w:hint="default" w:ascii="Times New Roman" w:hAnsi="Times New Roman" w:eastAsia="仿宋" w:cs="Times New Roman"/>
                <w:color w:val="FF0000"/>
                <w:sz w:val="21"/>
                <w:szCs w:val="21"/>
                <w:lang w:eastAsia="zh-CN"/>
              </w:rPr>
              <w:t>（</w:t>
            </w:r>
            <w:r>
              <w:rPr>
                <w:rFonts w:hint="default" w:ascii="Times New Roman" w:hAnsi="Times New Roman" w:eastAsia="仿宋" w:cs="Times New Roman"/>
                <w:color w:val="FF0000"/>
                <w:sz w:val="21"/>
                <w:szCs w:val="21"/>
                <w:lang w:val="en-US" w:eastAsia="zh-CN"/>
              </w:rPr>
              <w:t>五氯化磷不可用水</w:t>
            </w:r>
            <w:r>
              <w:rPr>
                <w:rFonts w:hint="default" w:ascii="Times New Roman" w:hAnsi="Times New Roman" w:eastAsia="仿宋" w:cs="Times New Roman"/>
                <w:color w:val="FF0000"/>
                <w:sz w:val="21"/>
                <w:szCs w:val="21"/>
                <w:lang w:eastAsia="zh-CN"/>
              </w:rPr>
              <w:t>）</w:t>
            </w:r>
            <w:r>
              <w:rPr>
                <w:rFonts w:hint="default" w:ascii="Times New Roman" w:hAnsi="Times New Roman" w:eastAsia="仿宋" w:cs="Times New Roman"/>
                <w:color w:val="FF0000"/>
                <w:sz w:val="21"/>
                <w:szCs w:val="21"/>
              </w:rPr>
              <w:t>，同时对其它未着火的部位进行防护，防止火势扩大；若有人员受伤，抢救伤员脱离现场进行急救；3、若火势扩大立即撤离，对火灾现场进行警戒，疏散周边人员，等待救援；4、抢险人员穿戴必要的应急装备（呼吸器、防护服等）进行灭火；5、做好现场保护等待调查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restar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应急联系电话</w:t>
            </w:r>
          </w:p>
        </w:tc>
        <w:tc>
          <w:tcPr>
            <w:tcW w:w="458" w:type="pct"/>
            <w:vMerge w:val="restar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厂内</w:t>
            </w:r>
          </w:p>
        </w:tc>
        <w:tc>
          <w:tcPr>
            <w:tcW w:w="949" w:type="pct"/>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应急中心</w:t>
            </w:r>
          </w:p>
        </w:tc>
        <w:tc>
          <w:tcPr>
            <w:tcW w:w="1291" w:type="pct"/>
            <w:gridSpan w:val="3"/>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技术负责人</w:t>
            </w:r>
          </w:p>
        </w:tc>
        <w:tc>
          <w:tcPr>
            <w:tcW w:w="1682" w:type="pct"/>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车间负责人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continue"/>
            <w:vAlign w:val="center"/>
          </w:tcPr>
          <w:p>
            <w:pPr>
              <w:widowControl/>
              <w:spacing w:line="380" w:lineRule="exact"/>
              <w:jc w:val="center"/>
              <w:rPr>
                <w:rFonts w:hint="default" w:ascii="Times New Roman" w:hAnsi="Times New Roman" w:eastAsia="仿宋" w:cs="Times New Roman"/>
                <w:color w:val="FF0000"/>
                <w:sz w:val="21"/>
                <w:szCs w:val="21"/>
              </w:rPr>
            </w:pPr>
          </w:p>
        </w:tc>
        <w:tc>
          <w:tcPr>
            <w:tcW w:w="949" w:type="pct"/>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c>
          <w:tcPr>
            <w:tcW w:w="1291" w:type="pct"/>
            <w:gridSpan w:val="3"/>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c>
          <w:tcPr>
            <w:tcW w:w="1682" w:type="pct"/>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restar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公共</w:t>
            </w:r>
          </w:p>
        </w:tc>
        <w:tc>
          <w:tcPr>
            <w:tcW w:w="94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报警电话</w:t>
            </w:r>
          </w:p>
        </w:tc>
        <w:tc>
          <w:tcPr>
            <w:tcW w:w="1291" w:type="pct"/>
            <w:gridSpan w:val="3"/>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火警电话</w:t>
            </w:r>
          </w:p>
        </w:tc>
        <w:tc>
          <w:tcPr>
            <w:tcW w:w="1682"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急救电话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continue"/>
            <w:vAlign w:val="center"/>
          </w:tcPr>
          <w:p>
            <w:pPr>
              <w:widowControl/>
              <w:spacing w:line="380" w:lineRule="exact"/>
              <w:jc w:val="center"/>
              <w:rPr>
                <w:rFonts w:hint="default" w:ascii="Times New Roman" w:hAnsi="Times New Roman" w:eastAsia="仿宋" w:cs="Times New Roman"/>
                <w:color w:val="FF0000"/>
                <w:sz w:val="21"/>
                <w:szCs w:val="21"/>
              </w:rPr>
            </w:pPr>
          </w:p>
        </w:tc>
        <w:tc>
          <w:tcPr>
            <w:tcW w:w="94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110</w:t>
            </w:r>
          </w:p>
        </w:tc>
        <w:tc>
          <w:tcPr>
            <w:tcW w:w="1291" w:type="pct"/>
            <w:gridSpan w:val="3"/>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119</w:t>
            </w:r>
          </w:p>
        </w:tc>
        <w:tc>
          <w:tcPr>
            <w:tcW w:w="1682"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120</w:t>
            </w:r>
          </w:p>
        </w:tc>
      </w:tr>
    </w:tbl>
    <w:p>
      <w:pPr>
        <w:rPr>
          <w:rFonts w:eastAsia="仿宋"/>
          <w:szCs w:val="28"/>
        </w:rPr>
      </w:pPr>
      <w:r>
        <w:rPr>
          <w:rFonts w:eastAsia="仿宋"/>
          <w:szCs w:val="28"/>
        </w:rPr>
        <w:br w:type="page"/>
      </w:r>
    </w:p>
    <w:p>
      <w:pPr>
        <w:pStyle w:val="95"/>
        <w:keepNext w:val="0"/>
        <w:keepLines w:val="0"/>
        <w:pageBreakBefore w:val="0"/>
        <w:widowControl w:val="0"/>
        <w:kinsoku/>
        <w:wordWrap/>
        <w:overflowPunct/>
        <w:topLinePunct w:val="0"/>
        <w:autoSpaceDE/>
        <w:autoSpaceDN/>
        <w:bidi w:val="0"/>
        <w:adjustRightInd/>
        <w:snapToGrid/>
        <w:spacing w:line="520" w:lineRule="exact"/>
        <w:ind w:firstLine="0" w:firstLineChars="0"/>
        <w:jc w:val="center"/>
        <w:textAlignment w:val="auto"/>
        <w:rPr>
          <w:rFonts w:hint="eastAsia" w:ascii="Times New Roman" w:hAnsi="Times New Roman" w:eastAsia="仿宋" w:cs="Times New Roman"/>
          <w:color w:val="FF0000"/>
          <w:szCs w:val="28"/>
          <w:lang w:eastAsia="zh-CN"/>
        </w:rPr>
      </w:pPr>
      <w:r>
        <w:rPr>
          <w:rFonts w:hint="eastAsia" w:ascii="Times New Roman" w:hAnsi="Times New Roman" w:eastAsia="仿宋" w:cs="Times New Roman"/>
          <w:color w:val="FF0000"/>
          <w:szCs w:val="28"/>
          <w:lang w:eastAsia="zh-CN"/>
        </w:rPr>
        <w:t>八、锅炉岗位</w:t>
      </w:r>
    </w:p>
    <w:tbl>
      <w:tblPr>
        <w:tblStyle w:val="3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5"/>
        <w:gridCol w:w="821"/>
        <w:gridCol w:w="1701"/>
        <w:gridCol w:w="489"/>
        <w:gridCol w:w="1445"/>
        <w:gridCol w:w="582"/>
        <w:gridCol w:w="2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部门</w:t>
            </w:r>
          </w:p>
        </w:tc>
        <w:tc>
          <w:tcPr>
            <w:tcW w:w="1680" w:type="pct"/>
            <w:gridSpan w:val="3"/>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磷化分厂</w:t>
            </w:r>
          </w:p>
        </w:tc>
        <w:tc>
          <w:tcPr>
            <w:tcW w:w="806"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岗位名称</w:t>
            </w:r>
          </w:p>
        </w:tc>
        <w:tc>
          <w:tcPr>
            <w:tcW w:w="1895" w:type="pct"/>
            <w:gridSpan w:val="2"/>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锅炉岗位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序号</w:t>
            </w:r>
          </w:p>
        </w:tc>
        <w:tc>
          <w:tcPr>
            <w:tcW w:w="4382" w:type="pct"/>
            <w:gridSpan w:val="6"/>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岗位应急处置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w:t>
            </w:r>
          </w:p>
        </w:tc>
        <w:tc>
          <w:tcPr>
            <w:tcW w:w="4382" w:type="pct"/>
            <w:gridSpan w:val="6"/>
            <w:vAlign w:val="center"/>
          </w:tcPr>
          <w:p>
            <w:pPr>
              <w:spacing w:line="220" w:lineRule="atLeast"/>
              <w:jc w:val="both"/>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超温、超压、停电、停水：</w:t>
            </w:r>
            <w:r>
              <w:rPr>
                <w:rFonts w:hint="default" w:ascii="Times New Roman" w:hAnsi="Times New Roman" w:eastAsia="仿宋" w:cs="Times New Roman"/>
                <w:color w:val="FF0000"/>
                <w:sz w:val="21"/>
                <w:szCs w:val="21"/>
              </w:rPr>
              <w:t>停止燃烧，泄压通风，切断电源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2</w:t>
            </w:r>
          </w:p>
        </w:tc>
        <w:tc>
          <w:tcPr>
            <w:tcW w:w="4382" w:type="pct"/>
            <w:gridSpan w:val="6"/>
            <w:vAlign w:val="center"/>
          </w:tcPr>
          <w:p>
            <w:pPr>
              <w:spacing w:line="380" w:lineRule="exact"/>
              <w:jc w:val="both"/>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烫伤</w:t>
            </w:r>
            <w:r>
              <w:rPr>
                <w:rFonts w:hint="default" w:ascii="Times New Roman" w:hAnsi="Times New Roman" w:eastAsia="仿宋" w:cs="Times New Roman"/>
                <w:color w:val="FF0000"/>
                <w:sz w:val="21"/>
                <w:szCs w:val="21"/>
              </w:rPr>
              <w:t>：转移至安全地带；用清水清洗降温烫伤部位至少15分钟；伤情严重者送医进一步治疗。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3</w:t>
            </w:r>
          </w:p>
        </w:tc>
        <w:tc>
          <w:tcPr>
            <w:tcW w:w="4382" w:type="pct"/>
            <w:gridSpan w:val="6"/>
            <w:vAlign w:val="center"/>
          </w:tcPr>
          <w:p>
            <w:pPr>
              <w:widowControl/>
              <w:spacing w:line="380" w:lineRule="exact"/>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rPr>
              <w:t>火灾：</w:t>
            </w:r>
            <w:r>
              <w:rPr>
                <w:rFonts w:hint="default" w:ascii="Times New Roman" w:hAnsi="Times New Roman" w:eastAsia="仿宋" w:cs="Times New Roman"/>
                <w:color w:val="FF0000"/>
                <w:sz w:val="21"/>
                <w:szCs w:val="21"/>
              </w:rPr>
              <w:t>1、立即停止作业，紧急停炉，报告班组长，通知车间主任；2、切断电源，利用现场灭火器灭火，同时对其它未着火的部位进行防护，防止火势扩大；若有人员受伤，抢救伤员脱离现场进行急救；3、若火势扩大立即撤离，对火灾现场进行警戒，疏散周边人员，等待救援；4、抢险人员穿戴必要的应急装备（呼吸器、防护服等）进行灭火；5、做好现场保护等待调查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restar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应急联系电话</w:t>
            </w:r>
          </w:p>
        </w:tc>
        <w:tc>
          <w:tcPr>
            <w:tcW w:w="458" w:type="pct"/>
            <w:vMerge w:val="restar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厂内</w:t>
            </w:r>
          </w:p>
        </w:tc>
        <w:tc>
          <w:tcPr>
            <w:tcW w:w="949" w:type="pct"/>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应急中心</w:t>
            </w:r>
          </w:p>
        </w:tc>
        <w:tc>
          <w:tcPr>
            <w:tcW w:w="1404" w:type="pct"/>
            <w:gridSpan w:val="3"/>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技术负责人</w:t>
            </w:r>
          </w:p>
        </w:tc>
        <w:tc>
          <w:tcPr>
            <w:tcW w:w="1569" w:type="pct"/>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车间负责人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continue"/>
            <w:vAlign w:val="center"/>
          </w:tcPr>
          <w:p>
            <w:pPr>
              <w:widowControl/>
              <w:spacing w:line="380" w:lineRule="exact"/>
              <w:jc w:val="center"/>
              <w:rPr>
                <w:rFonts w:hint="default" w:ascii="Times New Roman" w:hAnsi="Times New Roman" w:eastAsia="仿宋" w:cs="Times New Roman"/>
                <w:color w:val="FF0000"/>
                <w:sz w:val="21"/>
                <w:szCs w:val="21"/>
              </w:rPr>
            </w:pPr>
          </w:p>
        </w:tc>
        <w:tc>
          <w:tcPr>
            <w:tcW w:w="949" w:type="pct"/>
            <w:vAlign w:val="center"/>
          </w:tcPr>
          <w:p>
            <w:pPr>
              <w:spacing w:line="380" w:lineRule="exact"/>
              <w:jc w:val="center"/>
              <w:rPr>
                <w:rFonts w:hint="default" w:ascii="Times New Roman" w:hAnsi="Times New Roman" w:eastAsia="仿宋" w:cs="Times New Roman"/>
                <w:color w:val="FF0000"/>
                <w:kern w:val="0"/>
                <w:sz w:val="21"/>
                <w:szCs w:val="21"/>
                <w:lang w:val="en-US" w:eastAsia="zh-CN" w:bidi="ar-SA"/>
              </w:rPr>
            </w:pPr>
            <w:r>
              <w:rPr>
                <w:rFonts w:hint="eastAsia" w:ascii="Times New Roman" w:hAnsi="Times New Roman" w:eastAsia="仿宋"/>
                <w:szCs w:val="21"/>
                <w:highlight w:val="none"/>
                <w:lang w:val="en-US" w:eastAsia="zh-CN"/>
              </w:rPr>
              <w:t>XXX</w:t>
            </w:r>
          </w:p>
        </w:tc>
        <w:tc>
          <w:tcPr>
            <w:tcW w:w="1404" w:type="pct"/>
            <w:gridSpan w:val="3"/>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c>
          <w:tcPr>
            <w:tcW w:w="1569" w:type="pct"/>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restar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公共</w:t>
            </w:r>
          </w:p>
        </w:tc>
        <w:tc>
          <w:tcPr>
            <w:tcW w:w="94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报警电话</w:t>
            </w:r>
          </w:p>
        </w:tc>
        <w:tc>
          <w:tcPr>
            <w:tcW w:w="1404" w:type="pct"/>
            <w:gridSpan w:val="3"/>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火警电话</w:t>
            </w:r>
          </w:p>
        </w:tc>
        <w:tc>
          <w:tcPr>
            <w:tcW w:w="156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急救电话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continue"/>
            <w:vAlign w:val="center"/>
          </w:tcPr>
          <w:p>
            <w:pPr>
              <w:widowControl/>
              <w:spacing w:line="380" w:lineRule="exact"/>
              <w:jc w:val="center"/>
              <w:rPr>
                <w:rFonts w:hint="default" w:ascii="Times New Roman" w:hAnsi="Times New Roman" w:eastAsia="仿宋" w:cs="Times New Roman"/>
                <w:color w:val="FF0000"/>
                <w:sz w:val="21"/>
                <w:szCs w:val="21"/>
              </w:rPr>
            </w:pPr>
          </w:p>
        </w:tc>
        <w:tc>
          <w:tcPr>
            <w:tcW w:w="94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110</w:t>
            </w:r>
          </w:p>
        </w:tc>
        <w:tc>
          <w:tcPr>
            <w:tcW w:w="1404" w:type="pct"/>
            <w:gridSpan w:val="3"/>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119</w:t>
            </w:r>
          </w:p>
        </w:tc>
        <w:tc>
          <w:tcPr>
            <w:tcW w:w="156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120</w:t>
            </w:r>
          </w:p>
        </w:tc>
      </w:tr>
    </w:tbl>
    <w:p>
      <w:pPr>
        <w:rPr>
          <w:rFonts w:hint="eastAsia" w:ascii="Times New Roman" w:hAnsi="Times New Roman" w:eastAsia="仿宋" w:cs="Times New Roman"/>
          <w:color w:val="FF0000"/>
          <w:szCs w:val="28"/>
          <w:lang w:eastAsia="zh-CN"/>
        </w:rPr>
      </w:pPr>
      <w:r>
        <w:rPr>
          <w:rFonts w:hint="eastAsia" w:ascii="Times New Roman" w:hAnsi="Times New Roman" w:eastAsia="仿宋" w:cs="Times New Roman"/>
          <w:color w:val="FF0000"/>
          <w:szCs w:val="28"/>
          <w:lang w:eastAsia="zh-CN"/>
        </w:rPr>
        <w:br w:type="page"/>
      </w:r>
    </w:p>
    <w:p>
      <w:pPr>
        <w:pStyle w:val="95"/>
        <w:keepNext w:val="0"/>
        <w:keepLines w:val="0"/>
        <w:pageBreakBefore w:val="0"/>
        <w:widowControl w:val="0"/>
        <w:kinsoku/>
        <w:wordWrap/>
        <w:overflowPunct/>
        <w:topLinePunct w:val="0"/>
        <w:autoSpaceDE/>
        <w:autoSpaceDN/>
        <w:bidi w:val="0"/>
        <w:adjustRightInd/>
        <w:snapToGrid/>
        <w:spacing w:line="520" w:lineRule="exact"/>
        <w:ind w:firstLine="0" w:firstLineChars="0"/>
        <w:jc w:val="center"/>
        <w:textAlignment w:val="auto"/>
        <w:rPr>
          <w:color w:val="FF0000"/>
        </w:rPr>
      </w:pPr>
      <w:r>
        <w:rPr>
          <w:rFonts w:hint="eastAsia" w:ascii="Times New Roman" w:hAnsi="Times New Roman" w:eastAsia="仿宋" w:cs="Times New Roman"/>
          <w:color w:val="FF0000"/>
          <w:szCs w:val="28"/>
          <w:lang w:eastAsia="zh-CN"/>
        </w:rPr>
        <w:t>九、中控岗位</w:t>
      </w:r>
    </w:p>
    <w:tbl>
      <w:tblPr>
        <w:tblStyle w:val="3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5"/>
        <w:gridCol w:w="821"/>
        <w:gridCol w:w="1701"/>
        <w:gridCol w:w="489"/>
        <w:gridCol w:w="1445"/>
        <w:gridCol w:w="518"/>
        <w:gridCol w:w="2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cs="Times New Roman"/>
                <w:b/>
                <w:color w:val="FF0000"/>
                <w:sz w:val="21"/>
                <w:szCs w:val="21"/>
              </w:rPr>
            </w:pPr>
            <w:r>
              <w:rPr>
                <w:rFonts w:hint="default" w:ascii="Times New Roman" w:hAnsi="Times New Roman" w:cs="Times New Roman"/>
                <w:b/>
                <w:color w:val="FF0000"/>
                <w:sz w:val="21"/>
                <w:szCs w:val="21"/>
              </w:rPr>
              <w:t>部门</w:t>
            </w:r>
          </w:p>
        </w:tc>
        <w:tc>
          <w:tcPr>
            <w:tcW w:w="1680" w:type="pct"/>
            <w:gridSpan w:val="3"/>
            <w:vAlign w:val="center"/>
          </w:tcPr>
          <w:p>
            <w:pPr>
              <w:jc w:val="center"/>
              <w:rPr>
                <w:rFonts w:hint="default" w:ascii="Times New Roman" w:hAnsi="Times New Roman" w:cs="Times New Roman"/>
                <w:b/>
                <w:color w:val="FF0000"/>
                <w:sz w:val="21"/>
                <w:szCs w:val="21"/>
              </w:rPr>
            </w:pPr>
            <w:r>
              <w:rPr>
                <w:rFonts w:hint="default" w:ascii="Times New Roman" w:hAnsi="Times New Roman" w:cs="Times New Roman"/>
                <w:b/>
                <w:color w:val="FF0000"/>
                <w:sz w:val="21"/>
                <w:szCs w:val="21"/>
              </w:rPr>
              <w:t>磷化分厂</w:t>
            </w:r>
          </w:p>
        </w:tc>
        <w:tc>
          <w:tcPr>
            <w:tcW w:w="806" w:type="pct"/>
            <w:vAlign w:val="center"/>
          </w:tcPr>
          <w:p>
            <w:pPr>
              <w:jc w:val="center"/>
              <w:rPr>
                <w:rFonts w:hint="default" w:ascii="Times New Roman" w:hAnsi="Times New Roman" w:cs="Times New Roman"/>
                <w:b/>
                <w:color w:val="FF0000"/>
                <w:sz w:val="21"/>
                <w:szCs w:val="21"/>
              </w:rPr>
            </w:pPr>
            <w:r>
              <w:rPr>
                <w:rFonts w:hint="default" w:ascii="Times New Roman" w:hAnsi="Times New Roman" w:cs="Times New Roman"/>
                <w:b/>
                <w:color w:val="FF0000"/>
                <w:sz w:val="21"/>
                <w:szCs w:val="21"/>
              </w:rPr>
              <w:t>岗位名称</w:t>
            </w:r>
          </w:p>
        </w:tc>
        <w:tc>
          <w:tcPr>
            <w:tcW w:w="1895" w:type="pct"/>
            <w:gridSpan w:val="2"/>
            <w:vAlign w:val="center"/>
          </w:tcPr>
          <w:p>
            <w:pPr>
              <w:jc w:val="center"/>
              <w:rPr>
                <w:rFonts w:hint="default" w:ascii="Times New Roman" w:hAnsi="Times New Roman" w:cs="Times New Roman"/>
                <w:b/>
                <w:color w:val="FF0000"/>
                <w:sz w:val="21"/>
                <w:szCs w:val="21"/>
              </w:rPr>
            </w:pPr>
            <w:r>
              <w:rPr>
                <w:rFonts w:hint="default" w:ascii="Times New Roman" w:hAnsi="Times New Roman" w:cs="Times New Roman"/>
                <w:b/>
                <w:color w:val="FF0000"/>
                <w:sz w:val="21"/>
                <w:szCs w:val="21"/>
              </w:rPr>
              <w:t>中控岗位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cs="Times New Roman"/>
                <w:b/>
                <w:color w:val="FF0000"/>
                <w:sz w:val="21"/>
                <w:szCs w:val="21"/>
              </w:rPr>
            </w:pPr>
            <w:r>
              <w:rPr>
                <w:rFonts w:hint="default" w:ascii="Times New Roman" w:hAnsi="Times New Roman" w:cs="Times New Roman"/>
                <w:b/>
                <w:color w:val="FF0000"/>
                <w:sz w:val="21"/>
                <w:szCs w:val="21"/>
              </w:rPr>
              <w:t>序号</w:t>
            </w:r>
          </w:p>
        </w:tc>
        <w:tc>
          <w:tcPr>
            <w:tcW w:w="4382" w:type="pct"/>
            <w:gridSpan w:val="6"/>
            <w:vAlign w:val="center"/>
          </w:tcPr>
          <w:p>
            <w:pPr>
              <w:jc w:val="center"/>
              <w:rPr>
                <w:rFonts w:hint="default" w:ascii="Times New Roman" w:hAnsi="Times New Roman" w:cs="Times New Roman"/>
                <w:b/>
                <w:color w:val="FF0000"/>
                <w:sz w:val="21"/>
                <w:szCs w:val="21"/>
              </w:rPr>
            </w:pPr>
            <w:r>
              <w:rPr>
                <w:rFonts w:hint="default" w:ascii="Times New Roman" w:hAnsi="Times New Roman" w:cs="Times New Roman"/>
                <w:b/>
                <w:color w:val="FF0000"/>
                <w:sz w:val="21"/>
                <w:szCs w:val="21"/>
              </w:rPr>
              <w:t>岗位应急处置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cs="Times New Roman"/>
                <w:color w:val="FF0000"/>
                <w:sz w:val="21"/>
                <w:szCs w:val="21"/>
              </w:rPr>
            </w:pPr>
            <w:r>
              <w:rPr>
                <w:rFonts w:hint="default" w:ascii="Times New Roman" w:hAnsi="Times New Roman" w:cs="Times New Roman"/>
                <w:color w:val="FF0000"/>
                <w:sz w:val="21"/>
                <w:szCs w:val="21"/>
              </w:rPr>
              <w:t>1</w:t>
            </w:r>
          </w:p>
        </w:tc>
        <w:tc>
          <w:tcPr>
            <w:tcW w:w="4382" w:type="pct"/>
            <w:gridSpan w:val="6"/>
            <w:vAlign w:val="center"/>
          </w:tcPr>
          <w:p>
            <w:pPr>
              <w:spacing w:line="220" w:lineRule="atLeast"/>
              <w:rPr>
                <w:rFonts w:hint="default" w:ascii="Times New Roman" w:hAnsi="Times New Roman" w:cs="Times New Roman"/>
                <w:color w:val="FF0000"/>
                <w:sz w:val="21"/>
                <w:szCs w:val="21"/>
              </w:rPr>
            </w:pPr>
            <w:r>
              <w:rPr>
                <w:rFonts w:hint="default" w:ascii="Times New Roman" w:hAnsi="Times New Roman" w:cs="Times New Roman"/>
                <w:b/>
                <w:bCs/>
                <w:color w:val="FF0000"/>
                <w:sz w:val="21"/>
                <w:szCs w:val="21"/>
              </w:rPr>
              <w:t>触电</w:t>
            </w:r>
            <w:r>
              <w:rPr>
                <w:rFonts w:hint="default" w:ascii="Times New Roman" w:hAnsi="Times New Roman" w:cs="Times New Roman"/>
                <w:color w:val="FF0000"/>
                <w:sz w:val="21"/>
                <w:szCs w:val="21"/>
              </w:rPr>
              <w:t>：发生触电，立即切断电源或使人体脱离带电体，进行现场急救；同时向上级汇报，送伤者就医。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Align w:val="center"/>
          </w:tcPr>
          <w:p>
            <w:pPr>
              <w:jc w:val="center"/>
              <w:rPr>
                <w:rFonts w:hint="default" w:ascii="Times New Roman" w:hAnsi="Times New Roman" w:cs="Times New Roman"/>
                <w:color w:val="FF0000"/>
                <w:sz w:val="21"/>
                <w:szCs w:val="21"/>
              </w:rPr>
            </w:pPr>
            <w:r>
              <w:rPr>
                <w:rFonts w:hint="default" w:ascii="Times New Roman" w:hAnsi="Times New Roman" w:cs="Times New Roman"/>
                <w:color w:val="FF0000"/>
                <w:sz w:val="21"/>
                <w:szCs w:val="21"/>
              </w:rPr>
              <w:t>2</w:t>
            </w:r>
          </w:p>
        </w:tc>
        <w:tc>
          <w:tcPr>
            <w:tcW w:w="4382" w:type="pct"/>
            <w:gridSpan w:val="6"/>
            <w:vAlign w:val="center"/>
          </w:tcPr>
          <w:p>
            <w:pPr>
              <w:widowControl/>
              <w:spacing w:line="380" w:lineRule="exact"/>
              <w:rPr>
                <w:rFonts w:hint="default" w:ascii="Times New Roman" w:hAnsi="Times New Roman" w:cs="Times New Roman"/>
                <w:color w:val="FF0000"/>
                <w:sz w:val="21"/>
                <w:szCs w:val="21"/>
              </w:rPr>
            </w:pPr>
            <w:r>
              <w:rPr>
                <w:rFonts w:hint="default" w:ascii="Times New Roman" w:hAnsi="Times New Roman" w:cs="Times New Roman"/>
                <w:b/>
                <w:color w:val="FF0000"/>
                <w:sz w:val="21"/>
                <w:szCs w:val="21"/>
              </w:rPr>
              <w:t>火灾：</w:t>
            </w:r>
            <w:r>
              <w:rPr>
                <w:rFonts w:hint="default" w:ascii="Times New Roman" w:hAnsi="Times New Roman" w:cs="Times New Roman"/>
                <w:color w:val="FF0000"/>
                <w:sz w:val="21"/>
                <w:szCs w:val="21"/>
              </w:rPr>
              <w:t>1、立即停止作业，报告班组长，通知车间主任；2、切断电源，利用现场灭火器灭火，同时对其它未着火的部位进行防护，防止火势扩大；若有人员受伤，抢救伤员脱离现场进行急救；3、若火势扩大立即撤离，对火灾现场进行警戒，疏散周边人员，等待救援；4、抢险人员穿戴必要的应急装备（呼吸器、防护服等）进行灭火；5、做好现场保护等待调查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restart"/>
            <w:vAlign w:val="center"/>
          </w:tcPr>
          <w:p>
            <w:pPr>
              <w:spacing w:line="380" w:lineRule="exact"/>
              <w:jc w:val="center"/>
              <w:rPr>
                <w:rFonts w:hint="default" w:ascii="Times New Roman" w:hAnsi="Times New Roman" w:cs="Times New Roman"/>
                <w:color w:val="FF0000"/>
                <w:kern w:val="0"/>
                <w:sz w:val="21"/>
                <w:szCs w:val="21"/>
              </w:rPr>
            </w:pPr>
            <w:r>
              <w:rPr>
                <w:rFonts w:hint="default" w:ascii="Times New Roman" w:hAnsi="Times New Roman" w:cs="Times New Roman"/>
                <w:color w:val="FF0000"/>
                <w:kern w:val="0"/>
                <w:sz w:val="21"/>
                <w:szCs w:val="21"/>
              </w:rPr>
              <w:t>应急联系电话</w:t>
            </w:r>
          </w:p>
        </w:tc>
        <w:tc>
          <w:tcPr>
            <w:tcW w:w="458" w:type="pct"/>
            <w:vMerge w:val="restart"/>
            <w:vAlign w:val="center"/>
          </w:tcPr>
          <w:p>
            <w:pPr>
              <w:widowControl/>
              <w:spacing w:line="380" w:lineRule="exact"/>
              <w:jc w:val="center"/>
              <w:rPr>
                <w:rFonts w:hint="default" w:ascii="Times New Roman" w:hAnsi="Times New Roman" w:cs="Times New Roman"/>
                <w:color w:val="FF0000"/>
                <w:sz w:val="21"/>
                <w:szCs w:val="21"/>
              </w:rPr>
            </w:pPr>
            <w:r>
              <w:rPr>
                <w:rFonts w:hint="default" w:ascii="Times New Roman" w:hAnsi="Times New Roman" w:cs="Times New Roman"/>
                <w:color w:val="FF0000"/>
                <w:kern w:val="0"/>
                <w:sz w:val="21"/>
                <w:szCs w:val="21"/>
              </w:rPr>
              <w:t>厂内</w:t>
            </w:r>
          </w:p>
        </w:tc>
        <w:tc>
          <w:tcPr>
            <w:tcW w:w="949" w:type="pct"/>
            <w:vAlign w:val="center"/>
          </w:tcPr>
          <w:p>
            <w:pPr>
              <w:widowControl/>
              <w:snapToGrid w:val="0"/>
              <w:spacing w:line="380" w:lineRule="exact"/>
              <w:jc w:val="center"/>
              <w:rPr>
                <w:rFonts w:hint="default" w:ascii="Times New Roman" w:hAnsi="Times New Roman" w:cs="Times New Roman"/>
                <w:color w:val="FF0000"/>
                <w:kern w:val="0"/>
                <w:sz w:val="21"/>
                <w:szCs w:val="21"/>
              </w:rPr>
            </w:pPr>
            <w:r>
              <w:rPr>
                <w:rFonts w:hint="default" w:ascii="Times New Roman" w:hAnsi="Times New Roman" w:cs="Times New Roman"/>
                <w:color w:val="FF0000"/>
                <w:sz w:val="21"/>
                <w:szCs w:val="21"/>
              </w:rPr>
              <w:t>应急中心</w:t>
            </w:r>
          </w:p>
        </w:tc>
        <w:tc>
          <w:tcPr>
            <w:tcW w:w="1368" w:type="pct"/>
            <w:gridSpan w:val="3"/>
            <w:vAlign w:val="center"/>
          </w:tcPr>
          <w:p>
            <w:pPr>
              <w:widowControl/>
              <w:snapToGrid w:val="0"/>
              <w:spacing w:line="380" w:lineRule="exact"/>
              <w:jc w:val="center"/>
              <w:rPr>
                <w:rFonts w:hint="default" w:ascii="Times New Roman" w:hAnsi="Times New Roman" w:cs="Times New Roman"/>
                <w:color w:val="FF0000"/>
                <w:kern w:val="0"/>
                <w:sz w:val="21"/>
                <w:szCs w:val="21"/>
              </w:rPr>
            </w:pPr>
            <w:r>
              <w:rPr>
                <w:rFonts w:hint="default" w:ascii="Times New Roman" w:hAnsi="Times New Roman" w:cs="Times New Roman"/>
                <w:color w:val="FF0000"/>
                <w:sz w:val="21"/>
                <w:szCs w:val="21"/>
              </w:rPr>
              <w:t>技术负责人</w:t>
            </w:r>
          </w:p>
        </w:tc>
        <w:tc>
          <w:tcPr>
            <w:tcW w:w="1606" w:type="pct"/>
            <w:vAlign w:val="center"/>
          </w:tcPr>
          <w:p>
            <w:pPr>
              <w:widowControl/>
              <w:snapToGrid w:val="0"/>
              <w:spacing w:line="380" w:lineRule="exact"/>
              <w:jc w:val="center"/>
              <w:rPr>
                <w:rFonts w:hint="default" w:ascii="Times New Roman" w:hAnsi="Times New Roman" w:cs="Times New Roman"/>
                <w:color w:val="FF0000"/>
                <w:kern w:val="0"/>
                <w:sz w:val="21"/>
                <w:szCs w:val="21"/>
              </w:rPr>
            </w:pPr>
            <w:r>
              <w:rPr>
                <w:rFonts w:hint="default" w:ascii="Times New Roman" w:hAnsi="Times New Roman" w:cs="Times New Roman"/>
                <w:color w:val="FF0000"/>
                <w:sz w:val="21"/>
                <w:szCs w:val="21"/>
              </w:rPr>
              <w:t>车间负责人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cs="Times New Roman"/>
                <w:color w:val="FF0000"/>
                <w:sz w:val="21"/>
                <w:szCs w:val="21"/>
              </w:rPr>
            </w:pPr>
          </w:p>
        </w:tc>
        <w:tc>
          <w:tcPr>
            <w:tcW w:w="458" w:type="pct"/>
            <w:vMerge w:val="continue"/>
            <w:vAlign w:val="center"/>
          </w:tcPr>
          <w:p>
            <w:pPr>
              <w:widowControl/>
              <w:spacing w:line="380" w:lineRule="exact"/>
              <w:jc w:val="center"/>
              <w:rPr>
                <w:rFonts w:hint="default" w:ascii="Times New Roman" w:hAnsi="Times New Roman" w:cs="Times New Roman"/>
                <w:color w:val="FF0000"/>
                <w:sz w:val="21"/>
                <w:szCs w:val="21"/>
              </w:rPr>
            </w:pPr>
          </w:p>
        </w:tc>
        <w:tc>
          <w:tcPr>
            <w:tcW w:w="949" w:type="pct"/>
            <w:vAlign w:val="center"/>
          </w:tcPr>
          <w:p>
            <w:pPr>
              <w:spacing w:line="380" w:lineRule="exact"/>
              <w:jc w:val="center"/>
              <w:rPr>
                <w:rFonts w:hint="default" w:ascii="Times New Roman" w:hAnsi="Times New Roman" w:cs="Times New Roman" w:eastAsiaTheme="minorEastAsia"/>
                <w:color w:val="FF0000"/>
                <w:kern w:val="0"/>
                <w:sz w:val="21"/>
                <w:szCs w:val="21"/>
                <w:lang w:val="en-US" w:eastAsia="zh-CN" w:bidi="ar-SA"/>
              </w:rPr>
            </w:pPr>
            <w:r>
              <w:rPr>
                <w:rFonts w:hint="eastAsia" w:ascii="Times New Roman" w:hAnsi="Times New Roman" w:eastAsia="仿宋"/>
                <w:szCs w:val="21"/>
                <w:highlight w:val="none"/>
                <w:lang w:val="en-US" w:eastAsia="zh-CN"/>
              </w:rPr>
              <w:t>XXX</w:t>
            </w:r>
          </w:p>
        </w:tc>
        <w:tc>
          <w:tcPr>
            <w:tcW w:w="1368" w:type="pct"/>
            <w:gridSpan w:val="3"/>
            <w:vAlign w:val="center"/>
          </w:tcPr>
          <w:p>
            <w:pPr>
              <w:widowControl/>
              <w:spacing w:line="380" w:lineRule="exact"/>
              <w:jc w:val="center"/>
              <w:rPr>
                <w:rFonts w:hint="default" w:ascii="Times New Roman" w:hAnsi="Times New Roman" w:cs="Times New Roman" w:eastAsiaTheme="minorEastAsia"/>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c>
          <w:tcPr>
            <w:tcW w:w="1606" w:type="pct"/>
            <w:vAlign w:val="center"/>
          </w:tcPr>
          <w:p>
            <w:pPr>
              <w:widowControl/>
              <w:spacing w:line="380" w:lineRule="exact"/>
              <w:jc w:val="center"/>
              <w:rPr>
                <w:rFonts w:hint="default" w:ascii="Times New Roman" w:hAnsi="Times New Roman" w:cs="Times New Roman" w:eastAsiaTheme="minorEastAsia"/>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cs="Times New Roman"/>
                <w:color w:val="FF0000"/>
                <w:sz w:val="21"/>
                <w:szCs w:val="21"/>
              </w:rPr>
            </w:pPr>
          </w:p>
        </w:tc>
        <w:tc>
          <w:tcPr>
            <w:tcW w:w="458" w:type="pct"/>
            <w:vMerge w:val="restart"/>
            <w:vAlign w:val="center"/>
          </w:tcPr>
          <w:p>
            <w:pPr>
              <w:widowControl/>
              <w:spacing w:line="380" w:lineRule="exact"/>
              <w:jc w:val="center"/>
              <w:rPr>
                <w:rFonts w:hint="default" w:ascii="Times New Roman" w:hAnsi="Times New Roman" w:cs="Times New Roman"/>
                <w:color w:val="FF0000"/>
                <w:sz w:val="21"/>
                <w:szCs w:val="21"/>
              </w:rPr>
            </w:pPr>
            <w:r>
              <w:rPr>
                <w:rFonts w:hint="default" w:ascii="Times New Roman" w:hAnsi="Times New Roman" w:cs="Times New Roman"/>
                <w:color w:val="FF0000"/>
                <w:kern w:val="0"/>
                <w:sz w:val="21"/>
                <w:szCs w:val="21"/>
              </w:rPr>
              <w:t>公共</w:t>
            </w:r>
          </w:p>
        </w:tc>
        <w:tc>
          <w:tcPr>
            <w:tcW w:w="949" w:type="pct"/>
            <w:vAlign w:val="center"/>
          </w:tcPr>
          <w:p>
            <w:pPr>
              <w:widowControl/>
              <w:spacing w:line="380" w:lineRule="exact"/>
              <w:jc w:val="center"/>
              <w:rPr>
                <w:rFonts w:hint="default" w:ascii="Times New Roman" w:hAnsi="Times New Roman" w:cs="Times New Roman"/>
                <w:color w:val="FF0000"/>
                <w:sz w:val="21"/>
                <w:szCs w:val="21"/>
              </w:rPr>
            </w:pPr>
            <w:r>
              <w:rPr>
                <w:rFonts w:hint="default" w:ascii="Times New Roman" w:hAnsi="Times New Roman" w:cs="Times New Roman"/>
                <w:color w:val="FF0000"/>
                <w:sz w:val="21"/>
                <w:szCs w:val="21"/>
              </w:rPr>
              <w:t>报警电话</w:t>
            </w:r>
          </w:p>
        </w:tc>
        <w:tc>
          <w:tcPr>
            <w:tcW w:w="1368" w:type="pct"/>
            <w:gridSpan w:val="3"/>
            <w:vAlign w:val="center"/>
          </w:tcPr>
          <w:p>
            <w:pPr>
              <w:widowControl/>
              <w:spacing w:line="380" w:lineRule="exact"/>
              <w:jc w:val="center"/>
              <w:rPr>
                <w:rFonts w:hint="default" w:ascii="Times New Roman" w:hAnsi="Times New Roman" w:cs="Times New Roman"/>
                <w:color w:val="FF0000"/>
                <w:sz w:val="21"/>
                <w:szCs w:val="21"/>
              </w:rPr>
            </w:pPr>
            <w:r>
              <w:rPr>
                <w:rFonts w:hint="default" w:ascii="Times New Roman" w:hAnsi="Times New Roman" w:cs="Times New Roman"/>
                <w:color w:val="FF0000"/>
                <w:sz w:val="21"/>
                <w:szCs w:val="21"/>
              </w:rPr>
              <w:t>火警电话</w:t>
            </w:r>
          </w:p>
        </w:tc>
        <w:tc>
          <w:tcPr>
            <w:tcW w:w="1606" w:type="pct"/>
            <w:vAlign w:val="center"/>
          </w:tcPr>
          <w:p>
            <w:pPr>
              <w:widowControl/>
              <w:spacing w:line="380" w:lineRule="exact"/>
              <w:jc w:val="center"/>
              <w:rPr>
                <w:rFonts w:hint="default" w:ascii="Times New Roman" w:hAnsi="Times New Roman" w:cs="Times New Roman"/>
                <w:color w:val="FF0000"/>
                <w:sz w:val="21"/>
                <w:szCs w:val="21"/>
              </w:rPr>
            </w:pPr>
            <w:r>
              <w:rPr>
                <w:rFonts w:hint="default" w:ascii="Times New Roman" w:hAnsi="Times New Roman" w:cs="Times New Roman"/>
                <w:color w:val="FF0000"/>
                <w:sz w:val="21"/>
                <w:szCs w:val="21"/>
              </w:rPr>
              <w:t>急救电话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7" w:type="pct"/>
            <w:vMerge w:val="continue"/>
            <w:vAlign w:val="center"/>
          </w:tcPr>
          <w:p>
            <w:pPr>
              <w:jc w:val="center"/>
              <w:rPr>
                <w:rFonts w:hint="default" w:ascii="Times New Roman" w:hAnsi="Times New Roman" w:cs="Times New Roman"/>
                <w:color w:val="FF0000"/>
                <w:sz w:val="21"/>
                <w:szCs w:val="21"/>
              </w:rPr>
            </w:pPr>
          </w:p>
        </w:tc>
        <w:tc>
          <w:tcPr>
            <w:tcW w:w="458" w:type="pct"/>
            <w:vMerge w:val="continue"/>
            <w:vAlign w:val="center"/>
          </w:tcPr>
          <w:p>
            <w:pPr>
              <w:widowControl/>
              <w:spacing w:line="380" w:lineRule="exact"/>
              <w:jc w:val="center"/>
              <w:rPr>
                <w:rFonts w:hint="default" w:ascii="Times New Roman" w:hAnsi="Times New Roman" w:cs="Times New Roman"/>
                <w:color w:val="FF0000"/>
                <w:sz w:val="21"/>
                <w:szCs w:val="21"/>
              </w:rPr>
            </w:pPr>
          </w:p>
        </w:tc>
        <w:tc>
          <w:tcPr>
            <w:tcW w:w="949" w:type="pct"/>
            <w:vAlign w:val="center"/>
          </w:tcPr>
          <w:p>
            <w:pPr>
              <w:widowControl/>
              <w:spacing w:line="380" w:lineRule="exact"/>
              <w:jc w:val="center"/>
              <w:rPr>
                <w:rFonts w:hint="default" w:ascii="Times New Roman" w:hAnsi="Times New Roman" w:cs="Times New Roman"/>
                <w:color w:val="FF0000"/>
                <w:sz w:val="21"/>
                <w:szCs w:val="21"/>
              </w:rPr>
            </w:pPr>
            <w:r>
              <w:rPr>
                <w:rFonts w:hint="default" w:ascii="Times New Roman" w:hAnsi="Times New Roman" w:cs="Times New Roman"/>
                <w:color w:val="FF0000"/>
                <w:kern w:val="0"/>
                <w:sz w:val="21"/>
                <w:szCs w:val="21"/>
              </w:rPr>
              <w:t>110</w:t>
            </w:r>
          </w:p>
        </w:tc>
        <w:tc>
          <w:tcPr>
            <w:tcW w:w="1368" w:type="pct"/>
            <w:gridSpan w:val="3"/>
            <w:vAlign w:val="center"/>
          </w:tcPr>
          <w:p>
            <w:pPr>
              <w:widowControl/>
              <w:spacing w:line="380" w:lineRule="exact"/>
              <w:jc w:val="center"/>
              <w:rPr>
                <w:rFonts w:hint="default" w:ascii="Times New Roman" w:hAnsi="Times New Roman" w:cs="Times New Roman"/>
                <w:color w:val="FF0000"/>
                <w:sz w:val="21"/>
                <w:szCs w:val="21"/>
              </w:rPr>
            </w:pPr>
            <w:r>
              <w:rPr>
                <w:rFonts w:hint="default" w:ascii="Times New Roman" w:hAnsi="Times New Roman" w:cs="Times New Roman"/>
                <w:color w:val="FF0000"/>
                <w:kern w:val="0"/>
                <w:sz w:val="21"/>
                <w:szCs w:val="21"/>
              </w:rPr>
              <w:t>119</w:t>
            </w:r>
          </w:p>
        </w:tc>
        <w:tc>
          <w:tcPr>
            <w:tcW w:w="1606" w:type="pct"/>
            <w:vAlign w:val="center"/>
          </w:tcPr>
          <w:p>
            <w:pPr>
              <w:widowControl/>
              <w:spacing w:line="380" w:lineRule="exact"/>
              <w:jc w:val="center"/>
              <w:rPr>
                <w:rFonts w:hint="default" w:ascii="Times New Roman" w:hAnsi="Times New Roman" w:cs="Times New Roman"/>
                <w:color w:val="FF0000"/>
                <w:sz w:val="21"/>
                <w:szCs w:val="21"/>
              </w:rPr>
            </w:pPr>
            <w:r>
              <w:rPr>
                <w:rFonts w:hint="default" w:ascii="Times New Roman" w:hAnsi="Times New Roman" w:cs="Times New Roman"/>
                <w:color w:val="FF0000"/>
                <w:kern w:val="0"/>
                <w:sz w:val="21"/>
                <w:szCs w:val="21"/>
              </w:rPr>
              <w:t>120</w:t>
            </w:r>
          </w:p>
        </w:tc>
      </w:tr>
    </w:tbl>
    <w:p>
      <w:pPr>
        <w:rPr>
          <w:rFonts w:hint="eastAsia" w:ascii="Times New Roman" w:hAnsi="Times New Roman" w:eastAsia="仿宋" w:cs="Times New Roman"/>
          <w:color w:val="FF0000"/>
          <w:szCs w:val="28"/>
          <w:lang w:eastAsia="zh-CN"/>
        </w:rPr>
      </w:pPr>
      <w:r>
        <w:rPr>
          <w:rFonts w:hint="eastAsia" w:ascii="Times New Roman" w:hAnsi="Times New Roman" w:eastAsia="仿宋" w:cs="Times New Roman"/>
          <w:color w:val="FF0000"/>
          <w:szCs w:val="28"/>
          <w:lang w:eastAsia="zh-CN"/>
        </w:rPr>
        <w:br w:type="page"/>
      </w:r>
    </w:p>
    <w:p>
      <w:pPr>
        <w:pStyle w:val="95"/>
        <w:keepNext w:val="0"/>
        <w:keepLines w:val="0"/>
        <w:pageBreakBefore w:val="0"/>
        <w:widowControl w:val="0"/>
        <w:kinsoku/>
        <w:wordWrap/>
        <w:overflowPunct/>
        <w:topLinePunct w:val="0"/>
        <w:autoSpaceDE/>
        <w:autoSpaceDN/>
        <w:bidi w:val="0"/>
        <w:adjustRightInd/>
        <w:snapToGrid/>
        <w:spacing w:line="520" w:lineRule="exact"/>
        <w:ind w:firstLine="0" w:firstLineChars="0"/>
        <w:jc w:val="center"/>
        <w:textAlignment w:val="auto"/>
        <w:rPr>
          <w:rFonts w:eastAsia="仿宋"/>
          <w:color w:val="FF0000"/>
          <w:szCs w:val="28"/>
        </w:rPr>
      </w:pPr>
      <w:r>
        <w:rPr>
          <w:rFonts w:hint="eastAsia" w:ascii="Times New Roman" w:hAnsi="Times New Roman" w:eastAsia="仿宋" w:cs="Times New Roman"/>
          <w:color w:val="FF0000"/>
          <w:szCs w:val="28"/>
          <w:lang w:eastAsia="zh-CN"/>
        </w:rPr>
        <w:t>十、熔磷岗位</w:t>
      </w:r>
    </w:p>
    <w:tbl>
      <w:tblPr>
        <w:tblStyle w:val="3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4"/>
        <w:gridCol w:w="821"/>
        <w:gridCol w:w="1701"/>
        <w:gridCol w:w="489"/>
        <w:gridCol w:w="1445"/>
        <w:gridCol w:w="618"/>
        <w:gridCol w:w="27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部门</w:t>
            </w:r>
          </w:p>
        </w:tc>
        <w:tc>
          <w:tcPr>
            <w:tcW w:w="1680" w:type="pct"/>
            <w:gridSpan w:val="3"/>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磷化分厂</w:t>
            </w:r>
          </w:p>
        </w:tc>
        <w:tc>
          <w:tcPr>
            <w:tcW w:w="806"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岗位名称</w:t>
            </w:r>
          </w:p>
        </w:tc>
        <w:tc>
          <w:tcPr>
            <w:tcW w:w="1896" w:type="pct"/>
            <w:gridSpan w:val="2"/>
            <w:vAlign w:val="center"/>
          </w:tcPr>
          <w:p>
            <w:pPr>
              <w:jc w:val="center"/>
              <w:rPr>
                <w:rFonts w:hint="default" w:ascii="Times New Roman" w:hAnsi="Times New Roman" w:eastAsia="仿宋" w:cs="Times New Roman"/>
                <w:b/>
                <w:color w:val="FF0000"/>
                <w:sz w:val="21"/>
                <w:szCs w:val="21"/>
                <w:lang w:eastAsia="zh-CN"/>
              </w:rPr>
            </w:pPr>
            <w:r>
              <w:rPr>
                <w:rFonts w:hint="default" w:ascii="Times New Roman" w:hAnsi="Times New Roman" w:eastAsia="仿宋" w:cs="Times New Roman"/>
                <w:b/>
                <w:color w:val="FF0000"/>
                <w:sz w:val="21"/>
                <w:szCs w:val="21"/>
                <w:lang w:val="en-US" w:eastAsia="zh-CN"/>
              </w:rPr>
              <w:t>熔磷岗位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序号</w:t>
            </w:r>
          </w:p>
        </w:tc>
        <w:tc>
          <w:tcPr>
            <w:tcW w:w="4383" w:type="pct"/>
            <w:gridSpan w:val="6"/>
            <w:vAlign w:val="center"/>
          </w:tcPr>
          <w:p>
            <w:pPr>
              <w:jc w:val="center"/>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岗位应急处置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1</w:t>
            </w:r>
          </w:p>
        </w:tc>
        <w:tc>
          <w:tcPr>
            <w:tcW w:w="4383" w:type="pct"/>
            <w:gridSpan w:val="6"/>
            <w:vAlign w:val="center"/>
          </w:tcPr>
          <w:p>
            <w:pPr>
              <w:spacing w:line="220" w:lineRule="atLeast"/>
              <w:jc w:val="both"/>
              <w:rPr>
                <w:rFonts w:hint="default" w:ascii="Times New Roman" w:hAnsi="Times New Roman" w:eastAsia="仿宋" w:cs="Times New Roman"/>
                <w:color w:val="FF0000"/>
                <w:sz w:val="21"/>
                <w:szCs w:val="21"/>
              </w:rPr>
            </w:pPr>
            <w:r>
              <w:rPr>
                <w:rFonts w:hint="default" w:ascii="Times New Roman" w:hAnsi="Times New Roman" w:eastAsia="仿宋" w:cs="Times New Roman"/>
                <w:b/>
                <w:bCs/>
                <w:color w:val="FF0000"/>
                <w:sz w:val="21"/>
                <w:szCs w:val="21"/>
                <w:lang w:val="en-US" w:eastAsia="zh-CN"/>
              </w:rPr>
              <w:t>黄磷泄露</w:t>
            </w:r>
            <w:r>
              <w:rPr>
                <w:rFonts w:hint="default" w:ascii="Times New Roman" w:hAnsi="Times New Roman" w:eastAsia="仿宋" w:cs="Times New Roman"/>
                <w:color w:val="FF0000"/>
                <w:sz w:val="21"/>
                <w:szCs w:val="21"/>
              </w:rPr>
              <w:t>：</w:t>
            </w:r>
            <w:r>
              <w:rPr>
                <w:rFonts w:hint="default" w:ascii="Times New Roman" w:hAnsi="Times New Roman" w:eastAsia="仿宋" w:cs="Times New Roman"/>
                <w:color w:val="FF0000"/>
                <w:sz w:val="21"/>
                <w:szCs w:val="21"/>
                <w:lang w:val="en-US" w:eastAsia="zh-CN"/>
              </w:rPr>
              <w:t>立即停止作业，用大量清水或沙土处置</w:t>
            </w:r>
            <w:r>
              <w:rPr>
                <w:rFonts w:hint="default" w:ascii="Times New Roman" w:hAnsi="Times New Roman" w:eastAsia="仿宋" w:cs="Times New Roman"/>
                <w:color w:val="FF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Align w:val="center"/>
          </w:tcPr>
          <w:p>
            <w:pPr>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lang w:val="en-US" w:eastAsia="zh-CN"/>
              </w:rPr>
              <w:t>2</w:t>
            </w:r>
          </w:p>
        </w:tc>
        <w:tc>
          <w:tcPr>
            <w:tcW w:w="4383" w:type="pct"/>
            <w:gridSpan w:val="6"/>
            <w:vAlign w:val="center"/>
          </w:tcPr>
          <w:p>
            <w:pPr>
              <w:widowControl/>
              <w:spacing w:line="380" w:lineRule="exact"/>
              <w:jc w:val="both"/>
              <w:rPr>
                <w:rFonts w:hint="default" w:ascii="Times New Roman" w:hAnsi="Times New Roman" w:eastAsia="仿宋" w:cs="Times New Roman"/>
                <w:color w:val="FF0000"/>
                <w:sz w:val="21"/>
                <w:szCs w:val="21"/>
              </w:rPr>
            </w:pPr>
            <w:r>
              <w:rPr>
                <w:rFonts w:hint="default" w:ascii="Times New Roman" w:hAnsi="Times New Roman" w:eastAsia="仿宋" w:cs="Times New Roman"/>
                <w:b/>
                <w:color w:val="FF0000"/>
                <w:sz w:val="21"/>
                <w:szCs w:val="21"/>
                <w:lang w:val="en-US" w:eastAsia="zh-CN"/>
              </w:rPr>
              <w:t>烫伤：</w:t>
            </w:r>
            <w:r>
              <w:rPr>
                <w:rFonts w:hint="default" w:ascii="Times New Roman" w:hAnsi="Times New Roman" w:eastAsia="仿宋" w:cs="Times New Roman"/>
                <w:color w:val="FF0000"/>
                <w:sz w:val="21"/>
                <w:szCs w:val="21"/>
              </w:rPr>
              <w:t>转移至安全地带；用清水清洗降温烫伤部位至少15分钟；伤情严重者送医进一步治疗。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Align w:val="center"/>
          </w:tcPr>
          <w:p>
            <w:pPr>
              <w:jc w:val="center"/>
              <w:rPr>
                <w:rFonts w:hint="default" w:ascii="Times New Roman" w:hAnsi="Times New Roman" w:eastAsia="仿宋" w:cs="Times New Roman"/>
                <w:color w:val="FF0000"/>
                <w:kern w:val="2"/>
                <w:sz w:val="21"/>
                <w:szCs w:val="21"/>
                <w:lang w:val="en-US" w:eastAsia="zh-CN" w:bidi="ar-SA"/>
              </w:rPr>
            </w:pPr>
            <w:r>
              <w:rPr>
                <w:rFonts w:hint="default" w:ascii="Times New Roman" w:hAnsi="Times New Roman" w:eastAsia="仿宋" w:cs="Times New Roman"/>
                <w:color w:val="FF0000"/>
                <w:sz w:val="21"/>
                <w:szCs w:val="21"/>
                <w:lang w:val="en-US" w:eastAsia="zh-CN"/>
              </w:rPr>
              <w:t>3</w:t>
            </w:r>
          </w:p>
        </w:tc>
        <w:tc>
          <w:tcPr>
            <w:tcW w:w="4383" w:type="pct"/>
            <w:gridSpan w:val="6"/>
            <w:vAlign w:val="center"/>
          </w:tcPr>
          <w:p>
            <w:pPr>
              <w:widowControl/>
              <w:spacing w:line="380" w:lineRule="exact"/>
              <w:jc w:val="both"/>
              <w:rPr>
                <w:rFonts w:hint="default" w:ascii="Times New Roman" w:hAnsi="Times New Roman" w:eastAsia="仿宋" w:cs="Times New Roman"/>
                <w:b/>
                <w:color w:val="FF0000"/>
                <w:sz w:val="21"/>
                <w:szCs w:val="21"/>
                <w:lang w:val="en-US" w:eastAsia="zh-CN"/>
              </w:rPr>
            </w:pPr>
            <w:r>
              <w:rPr>
                <w:rFonts w:hint="default" w:ascii="Times New Roman" w:hAnsi="Times New Roman" w:eastAsia="仿宋" w:cs="Times New Roman"/>
                <w:b/>
                <w:color w:val="FF0000"/>
                <w:sz w:val="21"/>
                <w:szCs w:val="21"/>
                <w:lang w:val="en-US" w:eastAsia="zh-CN"/>
              </w:rPr>
              <w:t>高处坠落：</w:t>
            </w:r>
            <w:r>
              <w:rPr>
                <w:rFonts w:hint="default" w:ascii="Times New Roman" w:hAnsi="Times New Roman" w:eastAsia="仿宋" w:cs="Times New Roman"/>
                <w:color w:val="FF0000"/>
                <w:sz w:val="21"/>
                <w:szCs w:val="21"/>
                <w:lang w:val="en-US" w:eastAsia="zh-CN"/>
              </w:rPr>
              <w:t>发现人员坠落，第一发现人立即向本班班长报告，视情况采取预案行动，或直接报告医务人员或120；采取急救措施时</w:t>
            </w:r>
            <w:r>
              <w:rPr>
                <w:rFonts w:hint="default" w:ascii="Times New Roman" w:hAnsi="Times New Roman" w:eastAsia="仿宋" w:cs="Times New Roman"/>
                <w:color w:val="FF0000"/>
                <w:sz w:val="21"/>
                <w:szCs w:val="21"/>
              </w:rPr>
              <w:t>首先观察伤者的受伤情况、部位、伤害性质</w:t>
            </w:r>
            <w:r>
              <w:rPr>
                <w:rFonts w:hint="default" w:ascii="Times New Roman" w:hAnsi="Times New Roman" w:eastAsia="仿宋" w:cs="Times New Roman"/>
                <w:color w:val="FF0000"/>
                <w:sz w:val="21"/>
                <w:szCs w:val="21"/>
                <w:lang w:eastAsia="zh-CN"/>
              </w:rPr>
              <w:t>，</w:t>
            </w:r>
            <w:r>
              <w:rPr>
                <w:rFonts w:hint="default" w:ascii="Times New Roman" w:hAnsi="Times New Roman" w:eastAsia="仿宋" w:cs="Times New Roman"/>
                <w:color w:val="FF0000"/>
                <w:sz w:val="21"/>
                <w:szCs w:val="21"/>
                <w:lang w:val="en-US" w:eastAsia="zh-CN"/>
              </w:rPr>
              <w:t>组织救援伤者然后送医。急救必须由专业人员进行，避免发生二次伤害。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Align w:val="center"/>
          </w:tcPr>
          <w:p>
            <w:pPr>
              <w:jc w:val="center"/>
              <w:rPr>
                <w:rFonts w:hint="default" w:ascii="Times New Roman" w:hAnsi="Times New Roman" w:eastAsia="仿宋" w:cs="Times New Roman"/>
                <w:color w:val="FF0000"/>
                <w:kern w:val="2"/>
                <w:sz w:val="21"/>
                <w:szCs w:val="21"/>
                <w:lang w:val="en-US" w:eastAsia="zh-CN" w:bidi="ar-SA"/>
              </w:rPr>
            </w:pPr>
            <w:r>
              <w:rPr>
                <w:rFonts w:hint="default" w:ascii="Times New Roman" w:hAnsi="Times New Roman" w:eastAsia="仿宋" w:cs="Times New Roman"/>
                <w:color w:val="FF0000"/>
                <w:sz w:val="21"/>
                <w:szCs w:val="21"/>
                <w:lang w:val="en-US" w:eastAsia="zh-CN"/>
              </w:rPr>
              <w:t>4</w:t>
            </w:r>
          </w:p>
        </w:tc>
        <w:tc>
          <w:tcPr>
            <w:tcW w:w="4383" w:type="pct"/>
            <w:gridSpan w:val="6"/>
            <w:vAlign w:val="center"/>
          </w:tcPr>
          <w:p>
            <w:pPr>
              <w:widowControl/>
              <w:spacing w:line="380" w:lineRule="exact"/>
              <w:jc w:val="both"/>
              <w:rPr>
                <w:rFonts w:hint="default" w:ascii="Times New Roman" w:hAnsi="Times New Roman" w:eastAsia="仿宋" w:cs="Times New Roman"/>
                <w:b/>
                <w:color w:val="FF0000"/>
                <w:sz w:val="21"/>
                <w:szCs w:val="21"/>
                <w:lang w:val="en-US" w:eastAsia="zh-CN"/>
              </w:rPr>
            </w:pPr>
            <w:r>
              <w:rPr>
                <w:rFonts w:hint="default" w:ascii="Times New Roman" w:hAnsi="Times New Roman" w:eastAsia="仿宋" w:cs="Times New Roman"/>
                <w:b/>
                <w:color w:val="FF0000"/>
                <w:sz w:val="21"/>
                <w:szCs w:val="21"/>
                <w:lang w:val="en-US" w:eastAsia="zh-CN"/>
              </w:rPr>
              <w:t>机械伤害：</w:t>
            </w:r>
            <w:r>
              <w:rPr>
                <w:rFonts w:hint="default" w:ascii="Times New Roman" w:hAnsi="Times New Roman" w:eastAsia="仿宋" w:cs="Times New Roman"/>
                <w:color w:val="FF0000"/>
                <w:sz w:val="21"/>
                <w:szCs w:val="21"/>
              </w:rPr>
              <w:t>立即</w:t>
            </w:r>
            <w:r>
              <w:rPr>
                <w:rFonts w:hint="default" w:ascii="Times New Roman" w:hAnsi="Times New Roman" w:eastAsia="仿宋" w:cs="Times New Roman"/>
                <w:color w:val="FF0000"/>
                <w:sz w:val="21"/>
                <w:szCs w:val="21"/>
                <w:lang w:val="en-US" w:eastAsia="zh-CN"/>
              </w:rPr>
              <w:t>使伤者脱离伤害源</w:t>
            </w:r>
            <w:r>
              <w:rPr>
                <w:rFonts w:hint="default" w:ascii="Times New Roman" w:hAnsi="Times New Roman" w:eastAsia="仿宋" w:cs="Times New Roman"/>
                <w:color w:val="FF0000"/>
                <w:sz w:val="21"/>
                <w:szCs w:val="21"/>
              </w:rPr>
              <w:t>，</w:t>
            </w:r>
            <w:r>
              <w:rPr>
                <w:rFonts w:hint="default" w:ascii="Times New Roman" w:hAnsi="Times New Roman" w:eastAsia="仿宋" w:cs="Times New Roman"/>
                <w:color w:val="FF0000"/>
                <w:sz w:val="21"/>
                <w:szCs w:val="21"/>
                <w:lang w:val="en-US" w:eastAsia="zh-CN"/>
              </w:rPr>
              <w:t>进行急救包扎后立即</w:t>
            </w:r>
            <w:r>
              <w:rPr>
                <w:rFonts w:hint="default" w:ascii="Times New Roman" w:hAnsi="Times New Roman" w:eastAsia="仿宋" w:cs="Times New Roman"/>
                <w:color w:val="FF0000"/>
                <w:sz w:val="21"/>
                <w:szCs w:val="21"/>
              </w:rPr>
              <w:t>送医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Align w:val="center"/>
          </w:tcPr>
          <w:p>
            <w:pPr>
              <w:jc w:val="center"/>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lang w:val="en-US" w:eastAsia="zh-CN"/>
              </w:rPr>
              <w:t>5</w:t>
            </w:r>
          </w:p>
        </w:tc>
        <w:tc>
          <w:tcPr>
            <w:tcW w:w="4383" w:type="pct"/>
            <w:gridSpan w:val="6"/>
            <w:vAlign w:val="center"/>
          </w:tcPr>
          <w:p>
            <w:pPr>
              <w:widowControl/>
              <w:spacing w:line="380" w:lineRule="exact"/>
              <w:jc w:val="both"/>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lang w:val="en-US" w:eastAsia="zh-CN"/>
              </w:rPr>
              <w:t>中毒：</w:t>
            </w:r>
            <w:r>
              <w:rPr>
                <w:rFonts w:hint="default" w:ascii="Times New Roman" w:hAnsi="Times New Roman" w:eastAsia="仿宋" w:cs="Times New Roman"/>
                <w:color w:val="FF0000"/>
                <w:sz w:val="21"/>
                <w:szCs w:val="21"/>
              </w:rPr>
              <w:t>吸入时迅速脱离现场至空气新鲜处，保持呼吸通畅，如呼吸困难给输氧；如呼吸停止，立即进行人工呼吸，就医</w:t>
            </w:r>
            <w:r>
              <w:rPr>
                <w:rFonts w:hint="default" w:ascii="Times New Roman" w:hAnsi="Times New Roman" w:eastAsia="仿宋" w:cs="Times New Roman"/>
                <w:color w:val="FF0000"/>
                <w:sz w:val="21"/>
                <w:szCs w:val="21"/>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Align w:val="center"/>
          </w:tcPr>
          <w:p>
            <w:pPr>
              <w:jc w:val="center"/>
              <w:rPr>
                <w:rFonts w:hint="default" w:ascii="Times New Roman" w:hAnsi="Times New Roman" w:eastAsia="仿宋" w:cs="Times New Roman"/>
                <w:color w:val="FF0000"/>
                <w:sz w:val="21"/>
                <w:szCs w:val="21"/>
                <w:lang w:val="en-US" w:eastAsia="zh-CN"/>
              </w:rPr>
            </w:pPr>
            <w:r>
              <w:rPr>
                <w:rFonts w:hint="default" w:ascii="Times New Roman" w:hAnsi="Times New Roman" w:eastAsia="仿宋" w:cs="Times New Roman"/>
                <w:color w:val="FF0000"/>
                <w:sz w:val="21"/>
                <w:szCs w:val="21"/>
                <w:lang w:val="en-US" w:eastAsia="zh-CN"/>
              </w:rPr>
              <w:t>6</w:t>
            </w:r>
          </w:p>
        </w:tc>
        <w:tc>
          <w:tcPr>
            <w:tcW w:w="4383" w:type="pct"/>
            <w:gridSpan w:val="6"/>
            <w:vAlign w:val="center"/>
          </w:tcPr>
          <w:p>
            <w:pPr>
              <w:widowControl/>
              <w:spacing w:line="380" w:lineRule="exact"/>
              <w:rPr>
                <w:rFonts w:hint="default" w:ascii="Times New Roman" w:hAnsi="Times New Roman" w:eastAsia="仿宋" w:cs="Times New Roman"/>
                <w:b/>
                <w:color w:val="FF0000"/>
                <w:sz w:val="21"/>
                <w:szCs w:val="21"/>
              </w:rPr>
            </w:pPr>
            <w:r>
              <w:rPr>
                <w:rFonts w:hint="default" w:ascii="Times New Roman" w:hAnsi="Times New Roman" w:eastAsia="仿宋" w:cs="Times New Roman"/>
                <w:b/>
                <w:color w:val="FF0000"/>
                <w:sz w:val="21"/>
                <w:szCs w:val="21"/>
              </w:rPr>
              <w:t>火灾：</w:t>
            </w:r>
            <w:r>
              <w:rPr>
                <w:rFonts w:hint="default" w:ascii="Times New Roman" w:hAnsi="Times New Roman" w:eastAsia="仿宋" w:cs="Times New Roman"/>
                <w:color w:val="FF0000"/>
                <w:sz w:val="21"/>
                <w:szCs w:val="21"/>
              </w:rPr>
              <w:t>1、立即停止作业，报告班组长，通知车间主任；2、利用</w:t>
            </w:r>
            <w:r>
              <w:rPr>
                <w:rFonts w:hint="default" w:ascii="Times New Roman" w:hAnsi="Times New Roman" w:eastAsia="仿宋" w:cs="Times New Roman"/>
                <w:color w:val="FF0000"/>
                <w:sz w:val="21"/>
                <w:szCs w:val="21"/>
                <w:lang w:val="en-US" w:eastAsia="zh-CN"/>
              </w:rPr>
              <w:t>大量清水或沙土</w:t>
            </w:r>
            <w:r>
              <w:rPr>
                <w:rFonts w:hint="default" w:ascii="Times New Roman" w:hAnsi="Times New Roman" w:eastAsia="仿宋" w:cs="Times New Roman"/>
                <w:color w:val="FF0000"/>
                <w:sz w:val="21"/>
                <w:szCs w:val="21"/>
              </w:rPr>
              <w:t>灭火，同时对其它未着火的部位进行防护，防止火势扩大；若有人员受伤，抢救伤员脱离现场进行急救；3、若火势扩大立即撤离，对火灾现场进行警戒，疏散周边人员，等待救援；4、抢险人员穿戴必要的应急装备（呼吸器、防护服等）进行灭火；5、做好现场保护等待调查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trPr>
        <w:tc>
          <w:tcPr>
            <w:tcW w:w="616" w:type="pct"/>
            <w:vMerge w:val="restart"/>
            <w:vAlign w:val="center"/>
          </w:tcPr>
          <w:p>
            <w:pPr>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kern w:val="0"/>
                <w:sz w:val="21"/>
                <w:szCs w:val="21"/>
              </w:rPr>
              <w:t>应急联系电话</w:t>
            </w:r>
          </w:p>
        </w:tc>
        <w:tc>
          <w:tcPr>
            <w:tcW w:w="458" w:type="pct"/>
            <w:vMerge w:val="restar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厂内</w:t>
            </w:r>
          </w:p>
        </w:tc>
        <w:tc>
          <w:tcPr>
            <w:tcW w:w="949" w:type="pct"/>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应急中心</w:t>
            </w:r>
          </w:p>
        </w:tc>
        <w:tc>
          <w:tcPr>
            <w:tcW w:w="1424" w:type="pct"/>
            <w:gridSpan w:val="3"/>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技术负责人</w:t>
            </w:r>
          </w:p>
        </w:tc>
        <w:tc>
          <w:tcPr>
            <w:tcW w:w="1550" w:type="pct"/>
            <w:vAlign w:val="center"/>
          </w:tcPr>
          <w:p>
            <w:pPr>
              <w:widowControl/>
              <w:snapToGrid w:val="0"/>
              <w:spacing w:line="380" w:lineRule="exact"/>
              <w:jc w:val="center"/>
              <w:rPr>
                <w:rFonts w:hint="default" w:ascii="Times New Roman" w:hAnsi="Times New Roman" w:eastAsia="仿宋" w:cs="Times New Roman"/>
                <w:color w:val="FF0000"/>
                <w:kern w:val="0"/>
                <w:sz w:val="21"/>
                <w:szCs w:val="21"/>
              </w:rPr>
            </w:pPr>
            <w:r>
              <w:rPr>
                <w:rFonts w:hint="default" w:ascii="Times New Roman" w:hAnsi="Times New Roman" w:eastAsia="仿宋" w:cs="Times New Roman"/>
                <w:color w:val="FF0000"/>
                <w:sz w:val="21"/>
                <w:szCs w:val="21"/>
              </w:rPr>
              <w:t>车间负责人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continue"/>
            <w:vAlign w:val="center"/>
          </w:tcPr>
          <w:p>
            <w:pPr>
              <w:widowControl/>
              <w:spacing w:line="380" w:lineRule="exact"/>
              <w:jc w:val="center"/>
              <w:rPr>
                <w:rFonts w:hint="default" w:ascii="Times New Roman" w:hAnsi="Times New Roman" w:eastAsia="仿宋" w:cs="Times New Roman"/>
                <w:color w:val="FF0000"/>
                <w:sz w:val="21"/>
                <w:szCs w:val="21"/>
              </w:rPr>
            </w:pPr>
          </w:p>
        </w:tc>
        <w:tc>
          <w:tcPr>
            <w:tcW w:w="949" w:type="pct"/>
            <w:vAlign w:val="center"/>
          </w:tcPr>
          <w:p>
            <w:pPr>
              <w:spacing w:line="380" w:lineRule="exact"/>
              <w:jc w:val="center"/>
              <w:rPr>
                <w:rFonts w:hint="default" w:ascii="Times New Roman" w:hAnsi="Times New Roman" w:eastAsia="仿宋" w:cs="Times New Roman"/>
                <w:color w:val="FF0000"/>
                <w:kern w:val="0"/>
                <w:sz w:val="21"/>
                <w:szCs w:val="21"/>
                <w:lang w:val="en-US" w:eastAsia="zh-CN" w:bidi="ar-SA"/>
              </w:rPr>
            </w:pPr>
            <w:r>
              <w:rPr>
                <w:rFonts w:hint="eastAsia" w:ascii="Times New Roman" w:hAnsi="Times New Roman" w:eastAsia="仿宋"/>
                <w:szCs w:val="21"/>
                <w:highlight w:val="none"/>
                <w:lang w:val="en-US" w:eastAsia="zh-CN"/>
              </w:rPr>
              <w:t>XXX</w:t>
            </w:r>
          </w:p>
        </w:tc>
        <w:tc>
          <w:tcPr>
            <w:tcW w:w="1424" w:type="pct"/>
            <w:gridSpan w:val="3"/>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c>
          <w:tcPr>
            <w:tcW w:w="1550" w:type="pct"/>
            <w:vAlign w:val="center"/>
          </w:tcPr>
          <w:p>
            <w:pPr>
              <w:widowControl/>
              <w:spacing w:line="380" w:lineRule="exact"/>
              <w:jc w:val="center"/>
              <w:rPr>
                <w:rFonts w:hint="default" w:ascii="Times New Roman" w:hAnsi="Times New Roman" w:eastAsia="仿宋" w:cs="Times New Roman"/>
                <w:color w:val="FF0000"/>
                <w:kern w:val="2"/>
                <w:sz w:val="21"/>
                <w:szCs w:val="21"/>
                <w:lang w:val="en-US" w:eastAsia="zh-CN" w:bidi="ar-SA"/>
              </w:rPr>
            </w:pPr>
            <w:r>
              <w:rPr>
                <w:rFonts w:hint="eastAsia" w:ascii="Times New Roman" w:hAnsi="Times New Roman" w:eastAsia="仿宋"/>
                <w:szCs w:val="21"/>
                <w:highlight w:val="none"/>
                <w:lang w:val="en-US" w:eastAsia="zh-CN"/>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restar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公共</w:t>
            </w:r>
          </w:p>
        </w:tc>
        <w:tc>
          <w:tcPr>
            <w:tcW w:w="94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报警电话</w:t>
            </w:r>
          </w:p>
        </w:tc>
        <w:tc>
          <w:tcPr>
            <w:tcW w:w="1424" w:type="pct"/>
            <w:gridSpan w:val="3"/>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火警电话</w:t>
            </w:r>
          </w:p>
        </w:tc>
        <w:tc>
          <w:tcPr>
            <w:tcW w:w="1550"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sz w:val="21"/>
                <w:szCs w:val="21"/>
              </w:rPr>
              <w:t>急救电话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616" w:type="pct"/>
            <w:vMerge w:val="continue"/>
            <w:vAlign w:val="center"/>
          </w:tcPr>
          <w:p>
            <w:pPr>
              <w:jc w:val="center"/>
              <w:rPr>
                <w:rFonts w:hint="default" w:ascii="Times New Roman" w:hAnsi="Times New Roman" w:eastAsia="仿宋" w:cs="Times New Roman"/>
                <w:color w:val="FF0000"/>
                <w:sz w:val="21"/>
                <w:szCs w:val="21"/>
              </w:rPr>
            </w:pPr>
          </w:p>
        </w:tc>
        <w:tc>
          <w:tcPr>
            <w:tcW w:w="458" w:type="pct"/>
            <w:vMerge w:val="continue"/>
            <w:vAlign w:val="center"/>
          </w:tcPr>
          <w:p>
            <w:pPr>
              <w:widowControl/>
              <w:spacing w:line="380" w:lineRule="exact"/>
              <w:jc w:val="center"/>
              <w:rPr>
                <w:rFonts w:hint="default" w:ascii="Times New Roman" w:hAnsi="Times New Roman" w:eastAsia="仿宋" w:cs="Times New Roman"/>
                <w:color w:val="FF0000"/>
                <w:sz w:val="21"/>
                <w:szCs w:val="21"/>
              </w:rPr>
            </w:pPr>
          </w:p>
        </w:tc>
        <w:tc>
          <w:tcPr>
            <w:tcW w:w="949"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110</w:t>
            </w:r>
          </w:p>
        </w:tc>
        <w:tc>
          <w:tcPr>
            <w:tcW w:w="1424" w:type="pct"/>
            <w:gridSpan w:val="3"/>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119</w:t>
            </w:r>
          </w:p>
        </w:tc>
        <w:tc>
          <w:tcPr>
            <w:tcW w:w="1550" w:type="pct"/>
            <w:vAlign w:val="center"/>
          </w:tcPr>
          <w:p>
            <w:pPr>
              <w:widowControl/>
              <w:spacing w:line="380" w:lineRule="exact"/>
              <w:jc w:val="center"/>
              <w:rPr>
                <w:rFonts w:hint="default" w:ascii="Times New Roman" w:hAnsi="Times New Roman" w:eastAsia="仿宋" w:cs="Times New Roman"/>
                <w:color w:val="FF0000"/>
                <w:sz w:val="21"/>
                <w:szCs w:val="21"/>
              </w:rPr>
            </w:pPr>
            <w:r>
              <w:rPr>
                <w:rFonts w:hint="default" w:ascii="Times New Roman" w:hAnsi="Times New Roman" w:eastAsia="仿宋" w:cs="Times New Roman"/>
                <w:color w:val="FF0000"/>
                <w:kern w:val="0"/>
                <w:sz w:val="21"/>
                <w:szCs w:val="21"/>
              </w:rPr>
              <w:t>120</w:t>
            </w:r>
          </w:p>
        </w:tc>
      </w:tr>
    </w:tbl>
    <w:p>
      <w:pPr>
        <w:pStyle w:val="66"/>
        <w:spacing w:line="240" w:lineRule="auto"/>
        <w:ind w:firstLine="0" w:firstLineChars="0"/>
        <w:rPr>
          <w:rFonts w:eastAsia="仿宋"/>
          <w:color w:val="FF0000"/>
          <w:szCs w:val="28"/>
        </w:rPr>
      </w:pPr>
    </w:p>
    <w:p>
      <w:pPr>
        <w:pStyle w:val="66"/>
        <w:spacing w:line="240" w:lineRule="auto"/>
        <w:ind w:firstLine="0" w:firstLineChars="0"/>
        <w:rPr>
          <w:rFonts w:eastAsia="仿宋"/>
          <w:color w:val="FF0000"/>
          <w:szCs w:val="28"/>
        </w:rPr>
      </w:pPr>
    </w:p>
    <w:p>
      <w:pPr>
        <w:pStyle w:val="66"/>
        <w:spacing w:line="240" w:lineRule="auto"/>
        <w:ind w:firstLine="0" w:firstLineChars="0"/>
        <w:rPr>
          <w:rFonts w:eastAsia="仿宋"/>
          <w:color w:val="FF0000"/>
          <w:szCs w:val="28"/>
        </w:rPr>
      </w:pPr>
    </w:p>
    <w:p>
      <w:pPr>
        <w:pStyle w:val="66"/>
        <w:spacing w:line="240" w:lineRule="auto"/>
        <w:ind w:firstLine="0" w:firstLineChars="0"/>
        <w:rPr>
          <w:rFonts w:eastAsia="仿宋"/>
          <w:color w:val="FF0000"/>
          <w:szCs w:val="28"/>
        </w:rPr>
      </w:pPr>
    </w:p>
    <w:p>
      <w:pPr>
        <w:rPr>
          <w:rFonts w:eastAsia="仿宋"/>
          <w:szCs w:val="28"/>
        </w:rPr>
      </w:pPr>
      <w:r>
        <w:rPr>
          <w:rFonts w:eastAsia="仿宋"/>
          <w:szCs w:val="28"/>
        </w:rPr>
        <w:br w:type="page"/>
      </w:r>
    </w:p>
    <w:p>
      <w:pPr>
        <w:pStyle w:val="66"/>
        <w:spacing w:line="240" w:lineRule="auto"/>
        <w:ind w:firstLine="0" w:firstLineChars="0"/>
        <w:rPr>
          <w:rFonts w:eastAsia="仿宋"/>
          <w:szCs w:val="28"/>
        </w:rPr>
      </w:pPr>
      <w:r>
        <w:rPr>
          <w:rFonts w:eastAsia="仿宋"/>
          <w:szCs w:val="28"/>
        </w:rPr>
        <w:t>附件F1</w:t>
      </w:r>
      <w:r>
        <w:rPr>
          <w:rFonts w:hint="eastAsia" w:eastAsia="仿宋"/>
          <w:szCs w:val="28"/>
          <w:lang w:val="en-US" w:eastAsia="zh-CN"/>
        </w:rPr>
        <w:t>9</w:t>
      </w:r>
      <w:r>
        <w:rPr>
          <w:rFonts w:eastAsia="仿宋"/>
          <w:szCs w:val="28"/>
        </w:rPr>
        <w:t>：突发环境事件信息报告（格式）表</w:t>
      </w:r>
    </w:p>
    <w:p>
      <w:pPr>
        <w:jc w:val="center"/>
        <w:rPr>
          <w:rFonts w:ascii="仿宋" w:hAnsi="仿宋" w:eastAsia="仿宋" w:cs="仿宋"/>
          <w:sz w:val="24"/>
        </w:rPr>
      </w:pPr>
      <w:bookmarkStart w:id="166" w:name="_Hlk99741152"/>
      <w:r>
        <w:rPr>
          <w:rFonts w:hint="eastAsia" w:ascii="仿宋" w:hAnsi="仿宋" w:eastAsia="仿宋" w:cs="仿宋"/>
          <w:b/>
          <w:bCs/>
          <w:sz w:val="24"/>
        </w:rPr>
        <w:t>突发环境事件信息报告（格式）表</w:t>
      </w:r>
      <w:bookmarkEnd w:id="166"/>
    </w:p>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79"/>
        <w:gridCol w:w="2279"/>
        <w:gridCol w:w="2279"/>
        <w:gridCol w:w="20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279" w:type="dxa"/>
            <w:noWrap/>
            <w:vAlign w:val="center"/>
          </w:tcPr>
          <w:p>
            <w:pPr>
              <w:jc w:val="center"/>
              <w:rPr>
                <w:rFonts w:ascii="仿宋" w:hAnsi="仿宋" w:eastAsia="仿宋" w:cs="仿宋"/>
                <w:sz w:val="24"/>
              </w:rPr>
            </w:pPr>
            <w:r>
              <w:rPr>
                <w:rFonts w:hint="eastAsia" w:ascii="仿宋" w:hAnsi="仿宋" w:eastAsia="仿宋" w:cs="仿宋"/>
                <w:sz w:val="24"/>
              </w:rPr>
              <w:t>报告单位</w:t>
            </w:r>
          </w:p>
        </w:tc>
        <w:tc>
          <w:tcPr>
            <w:tcW w:w="2279" w:type="dxa"/>
            <w:noWrap/>
            <w:vAlign w:val="center"/>
          </w:tcPr>
          <w:p>
            <w:pPr>
              <w:jc w:val="center"/>
              <w:rPr>
                <w:rFonts w:ascii="仿宋" w:hAnsi="仿宋" w:eastAsia="仿宋" w:cs="仿宋"/>
                <w:sz w:val="24"/>
              </w:rPr>
            </w:pPr>
          </w:p>
        </w:tc>
        <w:tc>
          <w:tcPr>
            <w:tcW w:w="2279" w:type="dxa"/>
            <w:noWrap/>
            <w:vAlign w:val="center"/>
          </w:tcPr>
          <w:p>
            <w:pPr>
              <w:jc w:val="center"/>
              <w:rPr>
                <w:rFonts w:ascii="仿宋" w:hAnsi="仿宋" w:eastAsia="仿宋" w:cs="仿宋"/>
                <w:sz w:val="24"/>
              </w:rPr>
            </w:pPr>
            <w:r>
              <w:rPr>
                <w:rFonts w:hint="eastAsia" w:ascii="仿宋" w:hAnsi="仿宋" w:eastAsia="仿宋" w:cs="仿宋"/>
                <w:sz w:val="24"/>
              </w:rPr>
              <w:t>报告人</w:t>
            </w:r>
          </w:p>
        </w:tc>
        <w:tc>
          <w:tcPr>
            <w:tcW w:w="2015" w:type="dxa"/>
            <w:noWrap/>
            <w:vAlign w:val="center"/>
          </w:tcPr>
          <w:p>
            <w:pPr>
              <w:jc w:val="center"/>
              <w:rPr>
                <w:rFonts w:ascii="仿宋" w:hAnsi="仿宋" w:eastAsia="仿宋" w:cs="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279" w:type="dxa"/>
            <w:noWrap/>
            <w:vAlign w:val="center"/>
          </w:tcPr>
          <w:p>
            <w:pPr>
              <w:jc w:val="center"/>
              <w:rPr>
                <w:rFonts w:ascii="仿宋" w:hAnsi="仿宋" w:eastAsia="仿宋" w:cs="仿宋"/>
                <w:sz w:val="24"/>
              </w:rPr>
            </w:pPr>
            <w:r>
              <w:rPr>
                <w:rFonts w:hint="eastAsia" w:ascii="仿宋" w:hAnsi="仿宋" w:eastAsia="仿宋" w:cs="仿宋"/>
                <w:sz w:val="24"/>
              </w:rPr>
              <w:t>报告时间</w:t>
            </w:r>
          </w:p>
        </w:tc>
        <w:tc>
          <w:tcPr>
            <w:tcW w:w="6573" w:type="dxa"/>
            <w:gridSpan w:val="3"/>
            <w:noWrap/>
            <w:vAlign w:val="center"/>
          </w:tcPr>
          <w:p>
            <w:pPr>
              <w:ind w:firstLine="960" w:firstLineChars="400"/>
              <w:rPr>
                <w:rFonts w:ascii="仿宋" w:hAnsi="仿宋" w:eastAsia="仿宋" w:cs="仿宋"/>
                <w:sz w:val="24"/>
              </w:rPr>
            </w:pPr>
            <w:r>
              <w:rPr>
                <w:rFonts w:hint="eastAsia" w:ascii="仿宋" w:hAnsi="仿宋" w:eastAsia="仿宋" w:cs="仿宋"/>
                <w:sz w:val="24"/>
              </w:rPr>
              <w:t>年  月  日  时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852" w:type="dxa"/>
            <w:gridSpan w:val="4"/>
            <w:noWrap/>
            <w:vAlign w:val="center"/>
          </w:tcPr>
          <w:p>
            <w:pPr>
              <w:rPr>
                <w:rFonts w:ascii="仿宋" w:hAnsi="仿宋" w:eastAsia="仿宋" w:cs="仿宋"/>
                <w:sz w:val="24"/>
              </w:rPr>
            </w:pPr>
          </w:p>
          <w:p>
            <w:pPr>
              <w:rPr>
                <w:rFonts w:ascii="仿宋" w:hAnsi="仿宋" w:eastAsia="仿宋" w:cs="仿宋"/>
                <w:sz w:val="24"/>
              </w:rPr>
            </w:pPr>
            <w:r>
              <w:rPr>
                <w:rFonts w:hint="eastAsia" w:ascii="仿宋" w:hAnsi="仿宋" w:eastAsia="仿宋" w:cs="仿宋"/>
                <w:sz w:val="24"/>
              </w:rPr>
              <w:t>基本情况：</w:t>
            </w:r>
          </w:p>
          <w:p>
            <w:pPr>
              <w:rPr>
                <w:rFonts w:ascii="仿宋" w:hAnsi="仿宋" w:eastAsia="仿宋" w:cs="仿宋"/>
                <w:sz w:val="24"/>
              </w:rPr>
            </w:pPr>
            <w:r>
              <w:rPr>
                <w:rFonts w:hint="eastAsia" w:ascii="仿宋" w:hAnsi="仿宋" w:eastAsia="仿宋" w:cs="仿宋"/>
                <w:sz w:val="24"/>
              </w:rPr>
              <w:t>事件类型：                                 事件时间</w:t>
            </w:r>
          </w:p>
          <w:p>
            <w:pPr>
              <w:rPr>
                <w:rFonts w:ascii="仿宋" w:hAnsi="仿宋" w:eastAsia="仿宋" w:cs="仿宋"/>
                <w:sz w:val="24"/>
              </w:rPr>
            </w:pPr>
            <w:r>
              <w:rPr>
                <w:rFonts w:hint="eastAsia" w:ascii="仿宋" w:hAnsi="仿宋" w:eastAsia="仿宋" w:cs="仿宋"/>
                <w:sz w:val="24"/>
              </w:rPr>
              <w:t>事件地点：                                 初步原因：</w:t>
            </w:r>
          </w:p>
          <w:p>
            <w:pPr>
              <w:rPr>
                <w:rFonts w:ascii="仿宋" w:hAnsi="仿宋" w:eastAsia="仿宋" w:cs="仿宋"/>
                <w:sz w:val="24"/>
              </w:rPr>
            </w:pPr>
            <w:r>
              <w:rPr>
                <w:rFonts w:hint="eastAsia" w:ascii="仿宋" w:hAnsi="仿宋" w:eastAsia="仿宋" w:cs="仿宋"/>
                <w:sz w:val="24"/>
              </w:rPr>
              <w:t>主要污染物质：                             伤亡情况：</w:t>
            </w:r>
          </w:p>
          <w:p>
            <w:pPr>
              <w:rPr>
                <w:rFonts w:ascii="仿宋" w:hAnsi="仿宋" w:eastAsia="仿宋" w:cs="仿宋"/>
                <w:sz w:val="24"/>
              </w:rPr>
            </w:pPr>
            <w:r>
              <w:rPr>
                <w:rFonts w:hint="eastAsia" w:ascii="仿宋" w:hAnsi="仿宋" w:eastAsia="仿宋" w:cs="仿宋"/>
                <w:sz w:val="24"/>
              </w:rPr>
              <w:t>抢险情况：                                 救护情况：</w:t>
            </w:r>
          </w:p>
          <w:p>
            <w:pPr>
              <w:rPr>
                <w:rFonts w:ascii="仿宋" w:hAnsi="仿宋" w:eastAsia="仿宋" w:cs="仿宋"/>
                <w:sz w:val="24"/>
              </w:rPr>
            </w:pPr>
            <w:r>
              <w:rPr>
                <w:rFonts w:hint="eastAsia" w:ascii="仿宋" w:hAnsi="仿宋" w:eastAsia="仿宋" w:cs="仿宋"/>
                <w:sz w:val="24"/>
              </w:rPr>
              <w:t>周边环境受害情况及程度：</w:t>
            </w:r>
          </w:p>
          <w:p>
            <w:pPr>
              <w:rPr>
                <w:rFonts w:ascii="仿宋" w:hAnsi="仿宋" w:eastAsia="仿宋" w:cs="仿宋"/>
                <w:sz w:val="24"/>
              </w:rPr>
            </w:pPr>
          </w:p>
          <w:p>
            <w:pPr>
              <w:rPr>
                <w:rFonts w:ascii="仿宋" w:hAnsi="仿宋" w:eastAsia="仿宋" w:cs="仿宋"/>
                <w:sz w:val="24"/>
              </w:rPr>
            </w:pPr>
          </w:p>
          <w:p>
            <w:pPr>
              <w:rPr>
                <w:rFonts w:ascii="仿宋" w:hAnsi="仿宋" w:eastAsia="仿宋" w:cs="仿宋"/>
                <w:sz w:val="24"/>
              </w:rPr>
            </w:pPr>
            <w:r>
              <w:rPr>
                <w:rFonts w:hint="eastAsia" w:ascii="仿宋" w:hAnsi="仿宋" w:eastAsia="仿宋" w:cs="仿宋"/>
                <w:sz w:val="24"/>
              </w:rPr>
              <w:t>现场指挥部及联系人、联系方式</w:t>
            </w:r>
          </w:p>
          <w:p>
            <w:pPr>
              <w:rPr>
                <w:rFonts w:ascii="仿宋" w:hAnsi="仿宋" w:eastAsia="仿宋" w:cs="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68" w:hRule="atLeast"/>
        </w:trPr>
        <w:tc>
          <w:tcPr>
            <w:tcW w:w="8852" w:type="dxa"/>
            <w:gridSpan w:val="4"/>
            <w:noWrap/>
            <w:vAlign w:val="center"/>
          </w:tcPr>
          <w:p>
            <w:pPr>
              <w:rPr>
                <w:rFonts w:ascii="仿宋" w:hAnsi="仿宋" w:eastAsia="仿宋" w:cs="仿宋"/>
                <w:sz w:val="24"/>
              </w:rPr>
            </w:pPr>
            <w:r>
              <w:rPr>
                <w:rFonts w:hint="eastAsia" w:ascii="仿宋" w:hAnsi="仿宋" w:eastAsia="仿宋" w:cs="仿宋"/>
                <w:sz w:val="24"/>
              </w:rPr>
              <w:t>预计事件事态发展情况：</w:t>
            </w:r>
          </w:p>
          <w:p>
            <w:pPr>
              <w:rPr>
                <w:rFonts w:ascii="仿宋" w:hAnsi="仿宋" w:eastAsia="仿宋" w:cs="仿宋"/>
                <w:sz w:val="24"/>
              </w:rPr>
            </w:pPr>
          </w:p>
          <w:p>
            <w:pPr>
              <w:rPr>
                <w:rFonts w:ascii="仿宋" w:hAnsi="仿宋" w:eastAsia="仿宋" w:cs="仿宋"/>
                <w:sz w:val="24"/>
              </w:rPr>
            </w:pPr>
          </w:p>
          <w:p>
            <w:pPr>
              <w:rPr>
                <w:rFonts w:ascii="仿宋" w:hAnsi="仿宋" w:eastAsia="仿宋" w:cs="仿宋"/>
                <w:sz w:val="24"/>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rPr>
                <w:rFonts w:ascii="仿宋" w:hAnsi="仿宋" w:eastAsia="仿宋" w:cs="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9" w:hRule="atLeast"/>
        </w:trPr>
        <w:tc>
          <w:tcPr>
            <w:tcW w:w="8852" w:type="dxa"/>
            <w:gridSpan w:val="4"/>
            <w:noWrap/>
            <w:vAlign w:val="center"/>
          </w:tcPr>
          <w:p>
            <w:pPr>
              <w:rPr>
                <w:rFonts w:ascii="仿宋" w:hAnsi="仿宋" w:eastAsia="仿宋" w:cs="仿宋"/>
                <w:sz w:val="24"/>
              </w:rPr>
            </w:pPr>
            <w:r>
              <w:rPr>
                <w:rFonts w:hint="eastAsia" w:ascii="仿宋" w:hAnsi="仿宋" w:eastAsia="仿宋" w:cs="仿宋"/>
                <w:sz w:val="24"/>
              </w:rPr>
              <w:t>需要支援项目：</w:t>
            </w:r>
          </w:p>
          <w:p>
            <w:pPr>
              <w:rPr>
                <w:rFonts w:ascii="仿宋" w:hAnsi="仿宋" w:eastAsia="仿宋" w:cs="仿宋"/>
                <w:sz w:val="24"/>
              </w:rPr>
            </w:pPr>
          </w:p>
          <w:p>
            <w:pPr>
              <w:rPr>
                <w:rFonts w:ascii="仿宋" w:hAnsi="仿宋" w:eastAsia="仿宋" w:cs="仿宋"/>
                <w:sz w:val="24"/>
              </w:rPr>
            </w:pPr>
          </w:p>
          <w:p>
            <w:pPr>
              <w:rPr>
                <w:rFonts w:ascii="仿宋" w:hAnsi="仿宋" w:eastAsia="仿宋" w:cs="仿宋"/>
                <w:sz w:val="24"/>
              </w:rPr>
            </w:pPr>
          </w:p>
          <w:p>
            <w:pPr>
              <w:rPr>
                <w:rFonts w:ascii="仿宋" w:hAnsi="仿宋" w:eastAsia="仿宋" w:cs="仿宋"/>
                <w:sz w:val="24"/>
              </w:rPr>
            </w:pPr>
          </w:p>
          <w:p>
            <w:pPr>
              <w:rPr>
                <w:rFonts w:ascii="仿宋" w:hAnsi="仿宋" w:eastAsia="仿宋" w:cs="仿宋"/>
                <w:sz w:val="24"/>
              </w:rPr>
            </w:pPr>
          </w:p>
          <w:p>
            <w:pPr>
              <w:rPr>
                <w:rFonts w:ascii="仿宋" w:hAnsi="仿宋" w:eastAsia="仿宋" w:cs="仿宋"/>
                <w:sz w:val="24"/>
              </w:rPr>
            </w:pPr>
          </w:p>
          <w:p>
            <w:pPr>
              <w:rPr>
                <w:rFonts w:ascii="仿宋" w:hAnsi="仿宋" w:eastAsia="仿宋" w:cs="仿宋"/>
                <w:sz w:val="24"/>
              </w:rPr>
            </w:pPr>
          </w:p>
          <w:p>
            <w:pPr>
              <w:rPr>
                <w:rFonts w:ascii="仿宋" w:hAnsi="仿宋" w:eastAsia="仿宋" w:cs="仿宋"/>
                <w:sz w:val="24"/>
              </w:rPr>
            </w:pPr>
          </w:p>
          <w:p>
            <w:pPr>
              <w:rPr>
                <w:rFonts w:ascii="仿宋" w:hAnsi="仿宋" w:eastAsia="仿宋" w:cs="仿宋"/>
                <w:sz w:val="24"/>
              </w:rPr>
            </w:pPr>
          </w:p>
          <w:p>
            <w:pPr>
              <w:rPr>
                <w:rFonts w:ascii="仿宋" w:hAnsi="仿宋" w:eastAsia="仿宋" w:cs="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279" w:type="dxa"/>
            <w:noWrap/>
            <w:vAlign w:val="center"/>
          </w:tcPr>
          <w:p>
            <w:pPr>
              <w:jc w:val="center"/>
              <w:rPr>
                <w:rFonts w:ascii="仿宋" w:hAnsi="仿宋" w:eastAsia="仿宋" w:cs="仿宋"/>
                <w:sz w:val="24"/>
              </w:rPr>
            </w:pPr>
            <w:r>
              <w:rPr>
                <w:rFonts w:hint="eastAsia" w:ascii="仿宋" w:hAnsi="仿宋" w:eastAsia="仿宋" w:cs="仿宋"/>
                <w:sz w:val="24"/>
              </w:rPr>
              <w:t>接受信息部门</w:t>
            </w:r>
          </w:p>
        </w:tc>
        <w:tc>
          <w:tcPr>
            <w:tcW w:w="2279" w:type="dxa"/>
            <w:noWrap/>
            <w:vAlign w:val="center"/>
          </w:tcPr>
          <w:p>
            <w:pPr>
              <w:jc w:val="center"/>
              <w:rPr>
                <w:rFonts w:ascii="仿宋" w:hAnsi="仿宋" w:eastAsia="仿宋" w:cs="仿宋"/>
                <w:sz w:val="24"/>
              </w:rPr>
            </w:pPr>
          </w:p>
        </w:tc>
        <w:tc>
          <w:tcPr>
            <w:tcW w:w="2279" w:type="dxa"/>
            <w:noWrap/>
            <w:vAlign w:val="center"/>
          </w:tcPr>
          <w:p>
            <w:pPr>
              <w:jc w:val="center"/>
              <w:rPr>
                <w:rFonts w:ascii="仿宋" w:hAnsi="仿宋" w:eastAsia="仿宋" w:cs="仿宋"/>
                <w:sz w:val="24"/>
              </w:rPr>
            </w:pPr>
            <w:r>
              <w:rPr>
                <w:rFonts w:hint="eastAsia" w:ascii="仿宋" w:hAnsi="仿宋" w:eastAsia="仿宋" w:cs="仿宋"/>
                <w:sz w:val="24"/>
              </w:rPr>
              <w:t>接收时间</w:t>
            </w:r>
          </w:p>
        </w:tc>
        <w:tc>
          <w:tcPr>
            <w:tcW w:w="2015" w:type="dxa"/>
            <w:noWrap/>
            <w:vAlign w:val="center"/>
          </w:tcPr>
          <w:p>
            <w:pPr>
              <w:jc w:val="center"/>
              <w:rPr>
                <w:rFonts w:ascii="仿宋" w:hAnsi="仿宋" w:eastAsia="仿宋" w:cs="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279" w:type="dxa"/>
            <w:noWrap/>
            <w:vAlign w:val="center"/>
          </w:tcPr>
          <w:p>
            <w:pPr>
              <w:jc w:val="center"/>
              <w:rPr>
                <w:rFonts w:ascii="仿宋" w:hAnsi="仿宋" w:eastAsia="仿宋" w:cs="仿宋"/>
                <w:sz w:val="24"/>
              </w:rPr>
            </w:pPr>
            <w:r>
              <w:rPr>
                <w:rFonts w:hint="eastAsia" w:ascii="仿宋" w:hAnsi="仿宋" w:eastAsia="仿宋" w:cs="仿宋"/>
                <w:sz w:val="24"/>
              </w:rPr>
              <w:t>要求下次报告时间</w:t>
            </w:r>
          </w:p>
        </w:tc>
        <w:tc>
          <w:tcPr>
            <w:tcW w:w="6573" w:type="dxa"/>
            <w:gridSpan w:val="3"/>
            <w:noWrap/>
            <w:vAlign w:val="center"/>
          </w:tcPr>
          <w:p>
            <w:pPr>
              <w:jc w:val="center"/>
              <w:rPr>
                <w:rFonts w:ascii="仿宋" w:hAnsi="仿宋" w:eastAsia="仿宋" w:cs="仿宋"/>
                <w:sz w:val="24"/>
              </w:rPr>
            </w:pPr>
            <w:r>
              <w:rPr>
                <w:rFonts w:hint="eastAsia" w:ascii="仿宋" w:hAnsi="仿宋" w:eastAsia="仿宋" w:cs="仿宋"/>
                <w:sz w:val="24"/>
              </w:rPr>
              <w:t>年  月  日  时  分</w:t>
            </w:r>
          </w:p>
        </w:tc>
      </w:tr>
    </w:tbl>
    <w:p>
      <w:pPr>
        <w:rPr>
          <w:rFonts w:ascii="宋体" w:hAnsi="宋体"/>
          <w:b/>
          <w:sz w:val="24"/>
        </w:rPr>
      </w:pPr>
    </w:p>
    <w:p>
      <w:pPr>
        <w:keepNext/>
        <w:keepLines/>
        <w:rPr>
          <w:rFonts w:ascii="宋体" w:hAnsi="宋体"/>
          <w:b/>
          <w:szCs w:val="28"/>
        </w:rPr>
        <w:sectPr>
          <w:pgSz w:w="11907" w:h="16840"/>
          <w:pgMar w:top="1418" w:right="1469" w:bottom="1701" w:left="1695" w:header="851" w:footer="992" w:gutter="0"/>
          <w:pgBorders>
            <w:top w:val="none" w:sz="0" w:space="0"/>
            <w:left w:val="none" w:sz="0" w:space="0"/>
            <w:bottom w:val="none" w:sz="0" w:space="0"/>
            <w:right w:val="none" w:sz="0" w:space="0"/>
          </w:pgBorders>
          <w:cols w:space="720" w:num="1"/>
          <w:docGrid w:linePitch="312" w:charSpace="0"/>
        </w:sectPr>
      </w:pPr>
      <w:bookmarkStart w:id="167" w:name="_Toc474767870"/>
    </w:p>
    <w:bookmarkEnd w:id="167"/>
    <w:p>
      <w:pPr>
        <w:pStyle w:val="66"/>
        <w:spacing w:line="240" w:lineRule="auto"/>
        <w:ind w:firstLine="0" w:firstLineChars="0"/>
        <w:rPr>
          <w:rFonts w:hAnsi="仿宋" w:eastAsia="仿宋"/>
          <w:szCs w:val="28"/>
        </w:rPr>
      </w:pPr>
      <w:r>
        <w:rPr>
          <w:rFonts w:eastAsia="仿宋_GB2312"/>
          <w:szCs w:val="28"/>
        </w:rPr>
        <w:t>附件F</w:t>
      </w:r>
      <w:r>
        <w:rPr>
          <w:rFonts w:hint="eastAsia" w:eastAsia="仿宋_GB2312"/>
          <w:szCs w:val="28"/>
          <w:lang w:val="en-US" w:eastAsia="zh-CN"/>
        </w:rPr>
        <w:t>20</w:t>
      </w:r>
      <w:r>
        <w:rPr>
          <w:rFonts w:eastAsia="仿宋_GB2312"/>
          <w:szCs w:val="28"/>
        </w:rPr>
        <w:t>：</w:t>
      </w:r>
      <w:r>
        <w:rPr>
          <w:rFonts w:hint="eastAsia" w:eastAsia="仿宋_GB2312"/>
          <w:szCs w:val="28"/>
        </w:rPr>
        <w:t>应急预案启动令（格式）</w:t>
      </w:r>
    </w:p>
    <w:p>
      <w:pPr>
        <w:jc w:val="center"/>
        <w:rPr>
          <w:rFonts w:eastAsia="仿宋"/>
          <w:sz w:val="24"/>
        </w:rPr>
      </w:pPr>
      <w:bookmarkStart w:id="168" w:name="_Hlk99741260"/>
      <w:r>
        <w:rPr>
          <w:rFonts w:eastAsia="仿宋"/>
          <w:b/>
          <w:bCs/>
          <w:sz w:val="24"/>
        </w:rPr>
        <w:t>应急预案启动令（格式）</w:t>
      </w:r>
    </w:p>
    <w:bookmarkEnd w:id="168"/>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7"/>
        <w:gridCol w:w="2280"/>
        <w:gridCol w:w="2131"/>
        <w:gridCol w:w="30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37" w:type="dxa"/>
            <w:noWrap/>
            <w:vAlign w:val="center"/>
          </w:tcPr>
          <w:p>
            <w:pPr>
              <w:jc w:val="center"/>
              <w:rPr>
                <w:rFonts w:eastAsia="仿宋"/>
                <w:sz w:val="24"/>
              </w:rPr>
            </w:pPr>
            <w:r>
              <w:rPr>
                <w:rFonts w:eastAsia="仿宋"/>
                <w:sz w:val="24"/>
              </w:rPr>
              <w:t>签发人</w:t>
            </w:r>
          </w:p>
        </w:tc>
        <w:tc>
          <w:tcPr>
            <w:tcW w:w="2280" w:type="dxa"/>
            <w:noWrap/>
            <w:vAlign w:val="center"/>
          </w:tcPr>
          <w:p>
            <w:pPr>
              <w:jc w:val="center"/>
              <w:rPr>
                <w:rFonts w:eastAsia="仿宋"/>
                <w:sz w:val="24"/>
              </w:rPr>
            </w:pPr>
          </w:p>
        </w:tc>
        <w:tc>
          <w:tcPr>
            <w:tcW w:w="2131" w:type="dxa"/>
            <w:noWrap/>
            <w:vAlign w:val="center"/>
          </w:tcPr>
          <w:p>
            <w:pPr>
              <w:jc w:val="center"/>
              <w:rPr>
                <w:rFonts w:eastAsia="仿宋"/>
                <w:sz w:val="24"/>
              </w:rPr>
            </w:pPr>
            <w:r>
              <w:rPr>
                <w:rFonts w:eastAsia="仿宋"/>
                <w:sz w:val="24"/>
              </w:rPr>
              <w:t>签发时间</w:t>
            </w:r>
          </w:p>
        </w:tc>
        <w:tc>
          <w:tcPr>
            <w:tcW w:w="3068" w:type="dxa"/>
            <w:noWrap/>
            <w:vAlign w:val="center"/>
          </w:tcPr>
          <w:p>
            <w:pPr>
              <w:jc w:val="center"/>
              <w:rPr>
                <w:rFonts w:eastAsia="仿宋"/>
                <w:sz w:val="24"/>
              </w:rPr>
            </w:pPr>
            <w:r>
              <w:rPr>
                <w:rFonts w:eastAsia="仿宋"/>
                <w:sz w:val="24"/>
              </w:rPr>
              <w:t xml:space="preserve">    年  月  日  时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637" w:type="dxa"/>
            <w:noWrap/>
            <w:vAlign w:val="center"/>
          </w:tcPr>
          <w:p>
            <w:pPr>
              <w:jc w:val="center"/>
              <w:rPr>
                <w:rFonts w:eastAsia="仿宋"/>
                <w:sz w:val="24"/>
              </w:rPr>
            </w:pPr>
            <w:r>
              <w:rPr>
                <w:rFonts w:eastAsia="仿宋"/>
                <w:sz w:val="24"/>
              </w:rPr>
              <w:t>传令人</w:t>
            </w:r>
          </w:p>
        </w:tc>
        <w:tc>
          <w:tcPr>
            <w:tcW w:w="2280" w:type="dxa"/>
            <w:noWrap/>
            <w:vAlign w:val="center"/>
          </w:tcPr>
          <w:p>
            <w:pPr>
              <w:jc w:val="center"/>
              <w:rPr>
                <w:rFonts w:eastAsia="仿宋"/>
                <w:sz w:val="24"/>
              </w:rPr>
            </w:pPr>
          </w:p>
        </w:tc>
        <w:tc>
          <w:tcPr>
            <w:tcW w:w="2131" w:type="dxa"/>
            <w:noWrap/>
            <w:vAlign w:val="center"/>
          </w:tcPr>
          <w:p>
            <w:pPr>
              <w:jc w:val="center"/>
              <w:rPr>
                <w:rFonts w:eastAsia="仿宋"/>
                <w:sz w:val="24"/>
              </w:rPr>
            </w:pPr>
            <w:r>
              <w:rPr>
                <w:rFonts w:eastAsia="仿宋"/>
                <w:sz w:val="24"/>
              </w:rPr>
              <w:t>传令时间</w:t>
            </w:r>
          </w:p>
        </w:tc>
        <w:tc>
          <w:tcPr>
            <w:tcW w:w="3068" w:type="dxa"/>
            <w:noWrap/>
            <w:vAlign w:val="center"/>
          </w:tcPr>
          <w:p>
            <w:pPr>
              <w:jc w:val="center"/>
              <w:rPr>
                <w:rFonts w:eastAsia="仿宋"/>
                <w:sz w:val="24"/>
              </w:rPr>
            </w:pPr>
            <w:r>
              <w:rPr>
                <w:rFonts w:eastAsia="仿宋"/>
                <w:sz w:val="24"/>
              </w:rPr>
              <w:t xml:space="preserve">    年  月  日  时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116" w:type="dxa"/>
            <w:gridSpan w:val="4"/>
            <w:noWrap/>
            <w:vAlign w:val="center"/>
          </w:tcPr>
          <w:p>
            <w:pPr>
              <w:rPr>
                <w:rFonts w:eastAsia="仿宋"/>
                <w:sz w:val="24"/>
              </w:rPr>
            </w:pPr>
            <w:r>
              <w:rPr>
                <w:rFonts w:eastAsia="仿宋"/>
                <w:sz w:val="24"/>
              </w:rPr>
              <w:t>命令内容：</w:t>
            </w:r>
          </w:p>
          <w:p>
            <w:pPr>
              <w:rPr>
                <w:rFonts w:eastAsia="仿宋"/>
                <w:sz w:val="24"/>
              </w:rPr>
            </w:pPr>
            <w:r>
              <w:rPr>
                <w:rFonts w:eastAsia="仿宋"/>
                <w:sz w:val="24"/>
              </w:rPr>
              <w:t>（包括信息来源、事件现状、宣布事项）</w:t>
            </w:r>
          </w:p>
          <w:p>
            <w:pPr>
              <w:rPr>
                <w:rFonts w:eastAsia="仿宋"/>
                <w:sz w:val="24"/>
              </w:rPr>
            </w:pPr>
          </w:p>
          <w:p>
            <w:pPr>
              <w:rPr>
                <w:rFonts w:eastAsia="仿宋"/>
                <w:sz w:val="24"/>
              </w:rPr>
            </w:pPr>
          </w:p>
          <w:p>
            <w:pPr>
              <w:rPr>
                <w:rFonts w:eastAsia="仿宋"/>
                <w:sz w:val="24"/>
              </w:rPr>
            </w:pPr>
          </w:p>
          <w:p>
            <w:pPr>
              <w:rPr>
                <w:rFonts w:eastAsia="仿宋"/>
                <w:sz w:val="24"/>
              </w:rPr>
            </w:pPr>
          </w:p>
          <w:p>
            <w:pPr>
              <w:rPr>
                <w:rFonts w:eastAsia="仿宋"/>
                <w:sz w:val="24"/>
              </w:rPr>
            </w:pPr>
          </w:p>
          <w:p>
            <w:pPr>
              <w:pStyle w:val="131"/>
              <w:rPr>
                <w:rFonts w:ascii="Times New Roman" w:eastAsia="仿宋" w:cs="Times New Roman"/>
                <w:color w:val="auto"/>
              </w:rPr>
            </w:pPr>
          </w:p>
          <w:p>
            <w:pPr>
              <w:pStyle w:val="131"/>
              <w:rPr>
                <w:rFonts w:ascii="Times New Roman" w:eastAsia="仿宋" w:cs="Times New Roman"/>
                <w:color w:val="auto"/>
              </w:rPr>
            </w:pPr>
          </w:p>
          <w:p>
            <w:pPr>
              <w:pStyle w:val="131"/>
              <w:rPr>
                <w:rFonts w:ascii="Times New Roman" w:eastAsia="仿宋" w:cs="Times New Roman"/>
                <w:color w:val="auto"/>
              </w:rPr>
            </w:pPr>
          </w:p>
          <w:p>
            <w:pPr>
              <w:pStyle w:val="131"/>
              <w:rPr>
                <w:rFonts w:ascii="Times New Roman" w:eastAsia="仿宋" w:cs="Times New Roman"/>
                <w:color w:val="auto"/>
              </w:rPr>
            </w:pPr>
          </w:p>
          <w:p>
            <w:pPr>
              <w:pStyle w:val="131"/>
              <w:rPr>
                <w:rFonts w:ascii="Times New Roman" w:eastAsia="仿宋" w:cs="Times New Roman"/>
                <w:color w:val="auto"/>
              </w:rPr>
            </w:pPr>
          </w:p>
          <w:p>
            <w:pPr>
              <w:pStyle w:val="131"/>
              <w:rPr>
                <w:rFonts w:ascii="Times New Roman" w:eastAsia="仿宋" w:cs="Times New Roman"/>
                <w:color w:val="auto"/>
              </w:rPr>
            </w:pPr>
          </w:p>
          <w:p>
            <w:pPr>
              <w:pStyle w:val="131"/>
              <w:rPr>
                <w:rFonts w:ascii="Times New Roman" w:eastAsia="仿宋" w:cs="Times New Roman"/>
                <w:color w:val="auto"/>
              </w:rPr>
            </w:pPr>
          </w:p>
          <w:p>
            <w:pPr>
              <w:rPr>
                <w:rFonts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4" w:hRule="atLeast"/>
        </w:trPr>
        <w:tc>
          <w:tcPr>
            <w:tcW w:w="9116" w:type="dxa"/>
            <w:gridSpan w:val="4"/>
            <w:noWrap/>
            <w:vAlign w:val="center"/>
          </w:tcPr>
          <w:p>
            <w:pPr>
              <w:rPr>
                <w:rFonts w:eastAsia="仿宋"/>
                <w:sz w:val="24"/>
              </w:rPr>
            </w:pPr>
            <w:r>
              <w:rPr>
                <w:rFonts w:eastAsia="仿宋"/>
                <w:sz w:val="24"/>
              </w:rPr>
              <w:t>受令单位：</w:t>
            </w:r>
          </w:p>
          <w:p>
            <w:pPr>
              <w:rPr>
                <w:rFonts w:eastAsia="仿宋"/>
                <w:sz w:val="24"/>
              </w:rPr>
            </w:pPr>
          </w:p>
          <w:p>
            <w:pPr>
              <w:rPr>
                <w:rFonts w:eastAsia="仿宋"/>
                <w:sz w:val="24"/>
              </w:rPr>
            </w:pPr>
          </w:p>
          <w:p>
            <w:pPr>
              <w:rPr>
                <w:rFonts w:eastAsia="仿宋"/>
                <w:sz w:val="24"/>
              </w:rPr>
            </w:pPr>
          </w:p>
          <w:p>
            <w:pPr>
              <w:rPr>
                <w:rFonts w:eastAsia="仿宋"/>
                <w:sz w:val="24"/>
              </w:rPr>
            </w:pPr>
          </w:p>
          <w:p>
            <w:pPr>
              <w:pStyle w:val="131"/>
              <w:rPr>
                <w:rFonts w:ascii="Times New Roman" w:eastAsia="仿宋" w:cs="Times New Roman"/>
                <w:color w:val="auto"/>
              </w:rPr>
            </w:pPr>
          </w:p>
          <w:p>
            <w:pPr>
              <w:pStyle w:val="131"/>
              <w:rPr>
                <w:rFonts w:ascii="Times New Roman" w:eastAsia="仿宋" w:cs="Times New Roman"/>
                <w:color w:val="auto"/>
              </w:rPr>
            </w:pPr>
            <w:r>
              <w:rPr>
                <w:rFonts w:ascii="Times New Roman" w:eastAsia="仿宋" w:cs="Times New Roman"/>
              </w:rPr>
              <w:t>受令人：</w:t>
            </w:r>
          </w:p>
          <w:p>
            <w:pPr>
              <w:rPr>
                <w:rFonts w:eastAsia="仿宋"/>
                <w:sz w:val="24"/>
              </w:rPr>
            </w:pPr>
          </w:p>
          <w:p>
            <w:pPr>
              <w:rPr>
                <w:rFonts w:eastAsia="仿宋"/>
                <w:sz w:val="24"/>
              </w:rPr>
            </w:pPr>
          </w:p>
          <w:p>
            <w:pPr>
              <w:rPr>
                <w:rFonts w:eastAsia="仿宋"/>
                <w:sz w:val="24"/>
              </w:rPr>
            </w:pPr>
          </w:p>
          <w:p>
            <w:pPr>
              <w:rPr>
                <w:rFonts w:eastAsia="仿宋"/>
                <w:sz w:val="24"/>
              </w:rPr>
            </w:pPr>
            <w:r>
              <w:rPr>
                <w:rFonts w:eastAsia="仿宋"/>
                <w:sz w:val="24"/>
              </w:rPr>
              <w:t>时间：</w:t>
            </w:r>
          </w:p>
          <w:p>
            <w:pPr>
              <w:rPr>
                <w:rFonts w:eastAsia="仿宋"/>
                <w:sz w:val="24"/>
              </w:rPr>
            </w:pPr>
          </w:p>
          <w:p>
            <w:pPr>
              <w:rPr>
                <w:rFonts w:eastAsia="仿宋"/>
                <w:sz w:val="24"/>
              </w:rPr>
            </w:pPr>
          </w:p>
          <w:p>
            <w:pPr>
              <w:rPr>
                <w:rFonts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116" w:type="dxa"/>
            <w:gridSpan w:val="4"/>
            <w:noWrap/>
            <w:vAlign w:val="center"/>
          </w:tcPr>
          <w:p>
            <w:pPr>
              <w:rPr>
                <w:rFonts w:eastAsia="仿宋"/>
                <w:sz w:val="24"/>
              </w:rPr>
            </w:pPr>
            <w:r>
              <w:rPr>
                <w:rFonts w:eastAsia="仿宋"/>
                <w:sz w:val="24"/>
              </w:rPr>
              <w:t>备注：</w:t>
            </w:r>
          </w:p>
          <w:p>
            <w:pPr>
              <w:rPr>
                <w:rFonts w:eastAsia="仿宋"/>
                <w:sz w:val="24"/>
              </w:rPr>
            </w:pPr>
          </w:p>
          <w:p>
            <w:pPr>
              <w:rPr>
                <w:rFonts w:eastAsia="仿宋"/>
                <w:sz w:val="24"/>
              </w:rPr>
            </w:pPr>
          </w:p>
          <w:p>
            <w:pPr>
              <w:pStyle w:val="131"/>
              <w:rPr>
                <w:rFonts w:ascii="Times New Roman" w:eastAsia="仿宋" w:cs="Times New Roman"/>
                <w:color w:val="auto"/>
              </w:rPr>
            </w:pPr>
          </w:p>
          <w:p>
            <w:pPr>
              <w:rPr>
                <w:rFonts w:eastAsia="仿宋"/>
                <w:sz w:val="24"/>
              </w:rPr>
            </w:pPr>
          </w:p>
          <w:p>
            <w:pPr>
              <w:rPr>
                <w:rFonts w:eastAsia="仿宋"/>
                <w:sz w:val="24"/>
              </w:rPr>
            </w:pPr>
          </w:p>
          <w:p>
            <w:pPr>
              <w:rPr>
                <w:rFonts w:eastAsia="仿宋"/>
                <w:sz w:val="24"/>
              </w:rPr>
            </w:pPr>
          </w:p>
          <w:p>
            <w:pPr>
              <w:rPr>
                <w:rFonts w:eastAsia="仿宋"/>
                <w:sz w:val="24"/>
              </w:rPr>
            </w:pPr>
          </w:p>
          <w:p>
            <w:pPr>
              <w:rPr>
                <w:rFonts w:eastAsia="仿宋"/>
                <w:sz w:val="24"/>
              </w:rPr>
            </w:pPr>
          </w:p>
          <w:p>
            <w:pPr>
              <w:rPr>
                <w:rFonts w:eastAsia="仿宋"/>
                <w:sz w:val="24"/>
              </w:rPr>
            </w:pPr>
          </w:p>
          <w:p>
            <w:pPr>
              <w:rPr>
                <w:rFonts w:eastAsia="仿宋"/>
                <w:sz w:val="24"/>
              </w:rPr>
            </w:pPr>
          </w:p>
          <w:p>
            <w:pPr>
              <w:jc w:val="center"/>
              <w:rPr>
                <w:rFonts w:eastAsia="仿宋"/>
                <w:sz w:val="24"/>
              </w:rPr>
            </w:pPr>
          </w:p>
        </w:tc>
      </w:tr>
    </w:tbl>
    <w:p>
      <w:pPr>
        <w:rPr>
          <w:rFonts w:ascii="宋体" w:hAnsi="宋体"/>
          <w:sz w:val="24"/>
        </w:rPr>
        <w:sectPr>
          <w:pgSz w:w="11907" w:h="16840"/>
          <w:pgMar w:top="1418" w:right="1469" w:bottom="1701" w:left="1695" w:header="851" w:footer="992" w:gutter="0"/>
          <w:pgBorders>
            <w:top w:val="none" w:sz="0" w:space="0"/>
            <w:left w:val="none" w:sz="0" w:space="0"/>
            <w:bottom w:val="none" w:sz="0" w:space="0"/>
            <w:right w:val="none" w:sz="0" w:space="0"/>
          </w:pgBorders>
          <w:cols w:space="720" w:num="1"/>
          <w:docGrid w:linePitch="312" w:charSpace="0"/>
        </w:sectPr>
      </w:pPr>
    </w:p>
    <w:p>
      <w:pPr>
        <w:pStyle w:val="66"/>
        <w:spacing w:line="240" w:lineRule="auto"/>
        <w:ind w:firstLine="0" w:firstLineChars="0"/>
        <w:rPr>
          <w:rFonts w:hAnsi="仿宋" w:eastAsia="仿宋"/>
          <w:szCs w:val="28"/>
        </w:rPr>
      </w:pPr>
      <w:r>
        <w:rPr>
          <w:rFonts w:eastAsia="仿宋_GB2312"/>
          <w:szCs w:val="28"/>
        </w:rPr>
        <w:t>附件F</w:t>
      </w:r>
      <w:r>
        <w:rPr>
          <w:rFonts w:hint="eastAsia" w:eastAsia="仿宋_GB2312"/>
          <w:szCs w:val="28"/>
          <w:lang w:val="en-US" w:eastAsia="zh-CN"/>
        </w:rPr>
        <w:t>21</w:t>
      </w:r>
      <w:r>
        <w:rPr>
          <w:rFonts w:hAnsi="仿宋" w:eastAsia="仿宋"/>
          <w:szCs w:val="28"/>
        </w:rPr>
        <w:t>：</w:t>
      </w:r>
      <w:r>
        <w:rPr>
          <w:rFonts w:hint="eastAsia" w:hAnsi="仿宋" w:eastAsia="仿宋"/>
          <w:szCs w:val="28"/>
        </w:rPr>
        <w:t>应急预案启终止令（格式）</w:t>
      </w:r>
    </w:p>
    <w:p>
      <w:pPr>
        <w:jc w:val="center"/>
        <w:rPr>
          <w:rFonts w:eastAsia="仿宋"/>
          <w:sz w:val="24"/>
        </w:rPr>
      </w:pPr>
      <w:bookmarkStart w:id="169" w:name="_Hlk99741301"/>
      <w:r>
        <w:rPr>
          <w:rFonts w:eastAsia="仿宋"/>
          <w:b/>
          <w:bCs/>
          <w:sz w:val="24"/>
        </w:rPr>
        <w:t>应急预案启终止令（格式）</w:t>
      </w:r>
    </w:p>
    <w:bookmarkEnd w:id="169"/>
    <w:tbl>
      <w:tblPr>
        <w:tblStyle w:val="3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79"/>
        <w:gridCol w:w="1642"/>
        <w:gridCol w:w="1965"/>
        <w:gridCol w:w="25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279" w:type="dxa"/>
            <w:noWrap/>
            <w:vAlign w:val="center"/>
          </w:tcPr>
          <w:p>
            <w:pPr>
              <w:jc w:val="center"/>
              <w:rPr>
                <w:rFonts w:eastAsia="仿宋"/>
                <w:sz w:val="24"/>
              </w:rPr>
            </w:pPr>
            <w:r>
              <w:rPr>
                <w:rFonts w:eastAsia="仿宋"/>
                <w:sz w:val="24"/>
              </w:rPr>
              <w:t>签发人</w:t>
            </w:r>
          </w:p>
        </w:tc>
        <w:tc>
          <w:tcPr>
            <w:tcW w:w="1642" w:type="dxa"/>
            <w:noWrap/>
            <w:vAlign w:val="center"/>
          </w:tcPr>
          <w:p>
            <w:pPr>
              <w:jc w:val="center"/>
              <w:rPr>
                <w:rFonts w:eastAsia="仿宋"/>
                <w:sz w:val="24"/>
              </w:rPr>
            </w:pPr>
          </w:p>
        </w:tc>
        <w:tc>
          <w:tcPr>
            <w:tcW w:w="1965" w:type="dxa"/>
            <w:noWrap/>
            <w:vAlign w:val="center"/>
          </w:tcPr>
          <w:p>
            <w:pPr>
              <w:jc w:val="center"/>
              <w:rPr>
                <w:rFonts w:eastAsia="仿宋"/>
                <w:sz w:val="24"/>
              </w:rPr>
            </w:pPr>
            <w:r>
              <w:rPr>
                <w:rFonts w:eastAsia="仿宋"/>
                <w:sz w:val="24"/>
              </w:rPr>
              <w:t>签发时间</w:t>
            </w:r>
          </w:p>
        </w:tc>
        <w:tc>
          <w:tcPr>
            <w:tcW w:w="2535" w:type="dxa"/>
            <w:noWrap/>
            <w:vAlign w:val="center"/>
          </w:tcPr>
          <w:p>
            <w:pPr>
              <w:jc w:val="center"/>
              <w:rPr>
                <w:rFonts w:eastAsia="仿宋"/>
                <w:sz w:val="24"/>
              </w:rPr>
            </w:pPr>
            <w:r>
              <w:rPr>
                <w:rFonts w:eastAsia="仿宋"/>
                <w:sz w:val="24"/>
              </w:rPr>
              <w:t>年  月  日  时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279" w:type="dxa"/>
            <w:noWrap/>
            <w:vAlign w:val="center"/>
          </w:tcPr>
          <w:p>
            <w:pPr>
              <w:jc w:val="center"/>
              <w:rPr>
                <w:rFonts w:eastAsia="仿宋"/>
                <w:sz w:val="24"/>
              </w:rPr>
            </w:pPr>
            <w:r>
              <w:rPr>
                <w:rFonts w:eastAsia="仿宋"/>
                <w:sz w:val="24"/>
              </w:rPr>
              <w:t>传令人</w:t>
            </w:r>
          </w:p>
        </w:tc>
        <w:tc>
          <w:tcPr>
            <w:tcW w:w="1642" w:type="dxa"/>
            <w:noWrap/>
            <w:vAlign w:val="center"/>
          </w:tcPr>
          <w:p>
            <w:pPr>
              <w:jc w:val="center"/>
              <w:rPr>
                <w:rFonts w:eastAsia="仿宋"/>
                <w:sz w:val="24"/>
              </w:rPr>
            </w:pPr>
          </w:p>
        </w:tc>
        <w:tc>
          <w:tcPr>
            <w:tcW w:w="1965" w:type="dxa"/>
            <w:noWrap/>
            <w:vAlign w:val="center"/>
          </w:tcPr>
          <w:p>
            <w:pPr>
              <w:jc w:val="center"/>
              <w:rPr>
                <w:rFonts w:eastAsia="仿宋"/>
                <w:sz w:val="24"/>
              </w:rPr>
            </w:pPr>
            <w:r>
              <w:rPr>
                <w:rFonts w:eastAsia="仿宋"/>
                <w:sz w:val="24"/>
              </w:rPr>
              <w:t>传令时间</w:t>
            </w:r>
          </w:p>
        </w:tc>
        <w:tc>
          <w:tcPr>
            <w:tcW w:w="2535" w:type="dxa"/>
            <w:noWrap/>
            <w:vAlign w:val="center"/>
          </w:tcPr>
          <w:p>
            <w:pPr>
              <w:jc w:val="center"/>
              <w:rPr>
                <w:rFonts w:eastAsia="仿宋"/>
                <w:sz w:val="24"/>
              </w:rPr>
            </w:pPr>
            <w:r>
              <w:rPr>
                <w:rFonts w:eastAsia="仿宋"/>
                <w:sz w:val="24"/>
              </w:rPr>
              <w:t xml:space="preserve"> 年  月  日  时  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421" w:type="dxa"/>
            <w:gridSpan w:val="4"/>
            <w:noWrap/>
            <w:vAlign w:val="center"/>
          </w:tcPr>
          <w:p>
            <w:pPr>
              <w:rPr>
                <w:rFonts w:eastAsia="仿宋"/>
                <w:sz w:val="24"/>
              </w:rPr>
            </w:pPr>
            <w:r>
              <w:rPr>
                <w:rFonts w:eastAsia="仿宋"/>
                <w:sz w:val="24"/>
              </w:rPr>
              <w:t>命令内容：</w:t>
            </w:r>
          </w:p>
          <w:p>
            <w:pPr>
              <w:rPr>
                <w:rFonts w:eastAsia="仿宋"/>
                <w:sz w:val="24"/>
              </w:rPr>
            </w:pPr>
            <w:r>
              <w:rPr>
                <w:rFonts w:eastAsia="仿宋"/>
                <w:sz w:val="24"/>
              </w:rPr>
              <w:t>（宣布事件应急救援工作基本结束、现场基本恢复、现场指挥部撤销、相关部门认真做好善后恢复工作）</w:t>
            </w:r>
          </w:p>
          <w:p>
            <w:pPr>
              <w:rPr>
                <w:rFonts w:eastAsia="仿宋"/>
                <w:sz w:val="24"/>
              </w:rPr>
            </w:pPr>
          </w:p>
          <w:p>
            <w:pPr>
              <w:rPr>
                <w:rFonts w:eastAsia="仿宋"/>
                <w:sz w:val="24"/>
              </w:rPr>
            </w:pPr>
          </w:p>
          <w:p>
            <w:pPr>
              <w:rPr>
                <w:rFonts w:eastAsia="仿宋"/>
                <w:sz w:val="24"/>
              </w:rPr>
            </w:pPr>
          </w:p>
          <w:p>
            <w:pPr>
              <w:rPr>
                <w:rFonts w:eastAsia="仿宋"/>
                <w:sz w:val="24"/>
              </w:rPr>
            </w:pPr>
          </w:p>
          <w:p>
            <w:pPr>
              <w:rPr>
                <w:rFonts w:eastAsia="仿宋"/>
                <w:sz w:val="24"/>
              </w:rPr>
            </w:pPr>
          </w:p>
          <w:p>
            <w:pPr>
              <w:rPr>
                <w:rFonts w:eastAsia="仿宋"/>
                <w:sz w:val="24"/>
              </w:rPr>
            </w:pPr>
          </w:p>
          <w:p>
            <w:pPr>
              <w:rPr>
                <w:rFonts w:eastAsia="仿宋"/>
                <w:sz w:val="24"/>
              </w:rPr>
            </w:pPr>
          </w:p>
          <w:p>
            <w:pPr>
              <w:rPr>
                <w:rFonts w:eastAsia="仿宋"/>
                <w:sz w:val="24"/>
              </w:rPr>
            </w:pPr>
          </w:p>
          <w:p>
            <w:pPr>
              <w:rPr>
                <w:rFonts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8421" w:type="dxa"/>
            <w:gridSpan w:val="4"/>
            <w:noWrap/>
            <w:vAlign w:val="center"/>
          </w:tcPr>
          <w:p>
            <w:pPr>
              <w:rPr>
                <w:rFonts w:eastAsia="仿宋"/>
                <w:sz w:val="24"/>
              </w:rPr>
            </w:pPr>
            <w:r>
              <w:rPr>
                <w:rFonts w:eastAsia="仿宋"/>
                <w:sz w:val="24"/>
              </w:rPr>
              <w:t>受令单位：</w:t>
            </w:r>
          </w:p>
          <w:p>
            <w:pPr>
              <w:rPr>
                <w:rFonts w:eastAsia="仿宋"/>
                <w:sz w:val="24"/>
              </w:rPr>
            </w:pPr>
          </w:p>
          <w:p>
            <w:pPr>
              <w:rPr>
                <w:rFonts w:eastAsia="仿宋"/>
                <w:sz w:val="24"/>
              </w:rPr>
            </w:pPr>
          </w:p>
          <w:p>
            <w:pPr>
              <w:rPr>
                <w:rFonts w:eastAsia="仿宋"/>
                <w:sz w:val="24"/>
              </w:rPr>
            </w:pPr>
          </w:p>
          <w:p>
            <w:pPr>
              <w:rPr>
                <w:rFonts w:eastAsia="仿宋"/>
                <w:sz w:val="24"/>
              </w:rPr>
            </w:pPr>
          </w:p>
          <w:p>
            <w:pPr>
              <w:pStyle w:val="131"/>
              <w:rPr>
                <w:rFonts w:ascii="Times New Roman" w:eastAsia="仿宋" w:cs="Times New Roman"/>
                <w:color w:val="auto"/>
              </w:rPr>
            </w:pPr>
          </w:p>
          <w:p>
            <w:pPr>
              <w:pStyle w:val="131"/>
              <w:rPr>
                <w:rFonts w:ascii="Times New Roman" w:eastAsia="仿宋" w:cs="Times New Roman"/>
                <w:color w:val="auto"/>
              </w:rPr>
            </w:pPr>
            <w:r>
              <w:rPr>
                <w:rFonts w:ascii="Times New Roman" w:eastAsia="仿宋" w:cs="Times New Roman"/>
              </w:rPr>
              <w:t>受令人：</w:t>
            </w:r>
          </w:p>
          <w:p>
            <w:pPr>
              <w:rPr>
                <w:rFonts w:eastAsia="仿宋"/>
                <w:sz w:val="24"/>
              </w:rPr>
            </w:pPr>
          </w:p>
          <w:p>
            <w:pPr>
              <w:rPr>
                <w:rFonts w:eastAsia="仿宋"/>
                <w:sz w:val="24"/>
              </w:rPr>
            </w:pPr>
          </w:p>
          <w:p>
            <w:pPr>
              <w:rPr>
                <w:rFonts w:eastAsia="仿宋"/>
                <w:sz w:val="24"/>
              </w:rPr>
            </w:pPr>
          </w:p>
          <w:p>
            <w:pPr>
              <w:rPr>
                <w:rFonts w:eastAsia="仿宋"/>
                <w:sz w:val="24"/>
              </w:rPr>
            </w:pPr>
            <w:r>
              <w:rPr>
                <w:rFonts w:eastAsia="仿宋"/>
                <w:sz w:val="24"/>
              </w:rPr>
              <w:t>时间：</w:t>
            </w:r>
          </w:p>
          <w:p>
            <w:pPr>
              <w:rPr>
                <w:rFonts w:eastAsia="仿宋"/>
                <w:sz w:val="24"/>
              </w:rPr>
            </w:pPr>
          </w:p>
          <w:p>
            <w:pPr>
              <w:rPr>
                <w:rFonts w:eastAsia="仿宋"/>
                <w:sz w:val="24"/>
              </w:rPr>
            </w:pPr>
          </w:p>
          <w:p>
            <w:pPr>
              <w:rPr>
                <w:rFonts w:eastAsia="仿宋"/>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6" w:hRule="atLeast"/>
        </w:trPr>
        <w:tc>
          <w:tcPr>
            <w:tcW w:w="8421" w:type="dxa"/>
            <w:gridSpan w:val="4"/>
            <w:noWrap/>
            <w:vAlign w:val="center"/>
          </w:tcPr>
          <w:p>
            <w:pPr>
              <w:rPr>
                <w:rFonts w:eastAsia="仿宋"/>
                <w:sz w:val="24"/>
              </w:rPr>
            </w:pPr>
            <w:r>
              <w:rPr>
                <w:rFonts w:eastAsia="仿宋"/>
                <w:sz w:val="24"/>
              </w:rPr>
              <w:t>备注：</w:t>
            </w:r>
          </w:p>
          <w:p>
            <w:pPr>
              <w:rPr>
                <w:rFonts w:eastAsia="仿宋"/>
                <w:sz w:val="24"/>
              </w:rPr>
            </w:pPr>
          </w:p>
          <w:p>
            <w:pPr>
              <w:rPr>
                <w:rFonts w:eastAsia="仿宋"/>
                <w:sz w:val="24"/>
              </w:rPr>
            </w:pPr>
          </w:p>
          <w:p>
            <w:pPr>
              <w:pStyle w:val="131"/>
              <w:rPr>
                <w:rFonts w:ascii="Times New Roman" w:eastAsia="仿宋" w:cs="Times New Roman"/>
                <w:color w:val="auto"/>
              </w:rPr>
            </w:pPr>
          </w:p>
          <w:p>
            <w:pPr>
              <w:rPr>
                <w:rFonts w:eastAsia="仿宋"/>
                <w:sz w:val="24"/>
              </w:rPr>
            </w:pPr>
          </w:p>
          <w:p>
            <w:pPr>
              <w:rPr>
                <w:rFonts w:eastAsia="仿宋"/>
                <w:sz w:val="24"/>
              </w:rPr>
            </w:pPr>
          </w:p>
          <w:p>
            <w:pPr>
              <w:rPr>
                <w:rFonts w:eastAsia="仿宋"/>
                <w:sz w:val="24"/>
              </w:rPr>
            </w:pPr>
          </w:p>
          <w:p>
            <w:pPr>
              <w:rPr>
                <w:rFonts w:eastAsia="仿宋"/>
                <w:sz w:val="24"/>
              </w:rPr>
            </w:pPr>
          </w:p>
          <w:p>
            <w:pPr>
              <w:rPr>
                <w:rFonts w:eastAsia="仿宋"/>
                <w:sz w:val="24"/>
              </w:rPr>
            </w:pPr>
          </w:p>
          <w:p>
            <w:pPr>
              <w:rPr>
                <w:rFonts w:eastAsia="仿宋"/>
                <w:sz w:val="24"/>
              </w:rPr>
            </w:pPr>
          </w:p>
          <w:p>
            <w:pPr>
              <w:rPr>
                <w:rFonts w:eastAsia="仿宋"/>
                <w:sz w:val="24"/>
              </w:rPr>
            </w:pPr>
          </w:p>
          <w:p>
            <w:pPr>
              <w:jc w:val="center"/>
              <w:rPr>
                <w:rFonts w:eastAsia="仿宋"/>
                <w:sz w:val="24"/>
              </w:rPr>
            </w:pPr>
          </w:p>
        </w:tc>
      </w:tr>
    </w:tbl>
    <w:p>
      <w:pPr>
        <w:jc w:val="center"/>
        <w:rPr>
          <w:rFonts w:ascii="宋体" w:hAnsi="宋体"/>
          <w:b/>
          <w:sz w:val="24"/>
        </w:rPr>
      </w:pPr>
    </w:p>
    <w:p>
      <w:pPr>
        <w:keepNext/>
        <w:keepLines/>
        <w:rPr>
          <w:rFonts w:ascii="宋体" w:hAnsi="宋体"/>
          <w:b/>
          <w:szCs w:val="28"/>
        </w:rPr>
        <w:sectPr>
          <w:pgSz w:w="11906" w:h="16838"/>
          <w:pgMar w:top="1440" w:right="1800" w:bottom="1440" w:left="1800" w:header="1077" w:footer="1020" w:gutter="0"/>
          <w:pgBorders>
            <w:top w:val="none" w:sz="0" w:space="0"/>
            <w:left w:val="none" w:sz="0" w:space="0"/>
            <w:bottom w:val="none" w:sz="0" w:space="0"/>
            <w:right w:val="none" w:sz="0" w:space="0"/>
          </w:pgBorders>
          <w:cols w:space="720" w:num="1"/>
          <w:docGrid w:type="lines" w:linePitch="312" w:charSpace="0"/>
        </w:sectPr>
      </w:pPr>
    </w:p>
    <w:p>
      <w:pPr>
        <w:pStyle w:val="66"/>
        <w:spacing w:line="240" w:lineRule="auto"/>
        <w:ind w:firstLine="0" w:firstLineChars="0"/>
        <w:rPr>
          <w:rFonts w:hAnsi="仿宋" w:eastAsia="仿宋"/>
          <w:color w:val="FF0000"/>
          <w:szCs w:val="28"/>
        </w:rPr>
      </w:pPr>
      <w:r>
        <w:rPr>
          <w:rFonts w:eastAsia="仿宋_GB2312"/>
          <w:color w:val="FF0000"/>
          <w:szCs w:val="28"/>
        </w:rPr>
        <w:t>附件F</w:t>
      </w:r>
      <w:r>
        <w:rPr>
          <w:rFonts w:hint="eastAsia" w:eastAsia="仿宋_GB2312"/>
          <w:color w:val="FF0000"/>
          <w:szCs w:val="28"/>
          <w:lang w:val="en-US" w:eastAsia="zh-CN"/>
        </w:rPr>
        <w:t>22</w:t>
      </w:r>
      <w:r>
        <w:rPr>
          <w:rFonts w:eastAsia="仿宋_GB2312"/>
          <w:color w:val="FF0000"/>
          <w:szCs w:val="28"/>
        </w:rPr>
        <w:t>：</w:t>
      </w:r>
      <w:r>
        <w:rPr>
          <w:rFonts w:hint="eastAsia" w:eastAsia="仿宋_GB2312"/>
          <w:color w:val="FF0000"/>
          <w:szCs w:val="28"/>
        </w:rPr>
        <w:t>应急预案培训表</w:t>
      </w:r>
    </w:p>
    <w:p>
      <w:pPr>
        <w:pStyle w:val="66"/>
        <w:spacing w:line="240" w:lineRule="auto"/>
        <w:ind w:firstLine="0" w:firstLineChars="0"/>
        <w:rPr>
          <w:rFonts w:eastAsia="仿宋_GB2312"/>
          <w:color w:val="FF0000"/>
          <w:szCs w:val="28"/>
        </w:rPr>
      </w:pPr>
    </w:p>
    <w:p>
      <w:pPr>
        <w:rPr>
          <w:rFonts w:eastAsia="仿宋_GB2312"/>
          <w:szCs w:val="28"/>
        </w:rPr>
      </w:pPr>
      <w:r>
        <w:rPr>
          <w:rFonts w:eastAsia="仿宋_GB2312"/>
          <w:szCs w:val="28"/>
        </w:rPr>
        <w:drawing>
          <wp:inline distT="0" distB="0" distL="114300" distR="114300">
            <wp:extent cx="5269230" cy="7454900"/>
            <wp:effectExtent l="0" t="0" r="7620" b="12700"/>
            <wp:docPr id="21" name="图片 21" descr="2023年度环境保护培训计划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023年度环境保护培训计划_页面_1"/>
                    <pic:cNvPicPr>
                      <a:picLocks noChangeAspect="1"/>
                    </pic:cNvPicPr>
                  </pic:nvPicPr>
                  <pic:blipFill>
                    <a:blip r:embed="rId56"/>
                    <a:stretch>
                      <a:fillRect/>
                    </a:stretch>
                  </pic:blipFill>
                  <pic:spPr>
                    <a:xfrm>
                      <a:off x="0" y="0"/>
                      <a:ext cx="5269230" cy="7454900"/>
                    </a:xfrm>
                    <a:prstGeom prst="rect">
                      <a:avLst/>
                    </a:prstGeom>
                  </pic:spPr>
                </pic:pic>
              </a:graphicData>
            </a:graphic>
          </wp:inline>
        </w:drawing>
      </w:r>
      <w:r>
        <w:rPr>
          <w:rFonts w:eastAsia="仿宋_GB2312"/>
          <w:szCs w:val="28"/>
        </w:rPr>
        <w:drawing>
          <wp:inline distT="0" distB="0" distL="114300" distR="114300">
            <wp:extent cx="5269865" cy="7452995"/>
            <wp:effectExtent l="0" t="0" r="6985" b="14605"/>
            <wp:docPr id="40" name="图片 40" descr="2023年度环境保护培训计划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2023年度环境保护培训计划_页面_2"/>
                    <pic:cNvPicPr>
                      <a:picLocks noChangeAspect="1"/>
                    </pic:cNvPicPr>
                  </pic:nvPicPr>
                  <pic:blipFill>
                    <a:blip r:embed="rId57"/>
                    <a:stretch>
                      <a:fillRect/>
                    </a:stretch>
                  </pic:blipFill>
                  <pic:spPr>
                    <a:xfrm>
                      <a:off x="0" y="0"/>
                      <a:ext cx="5269865" cy="7452995"/>
                    </a:xfrm>
                    <a:prstGeom prst="rect">
                      <a:avLst/>
                    </a:prstGeom>
                  </pic:spPr>
                </pic:pic>
              </a:graphicData>
            </a:graphic>
          </wp:inline>
        </w:drawing>
      </w:r>
      <w:r>
        <w:rPr>
          <w:rFonts w:eastAsia="仿宋_GB2312"/>
          <w:szCs w:val="28"/>
        </w:rPr>
        <w:drawing>
          <wp:inline distT="0" distB="0" distL="114300" distR="114300">
            <wp:extent cx="5269865" cy="7452995"/>
            <wp:effectExtent l="0" t="0" r="6985" b="14605"/>
            <wp:docPr id="41" name="图片 41" descr="2023年度环境保护培训计划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2023年度环境保护培训计划_页面_3"/>
                    <pic:cNvPicPr>
                      <a:picLocks noChangeAspect="1"/>
                    </pic:cNvPicPr>
                  </pic:nvPicPr>
                  <pic:blipFill>
                    <a:blip r:embed="rId58"/>
                    <a:stretch>
                      <a:fillRect/>
                    </a:stretch>
                  </pic:blipFill>
                  <pic:spPr>
                    <a:xfrm>
                      <a:off x="0" y="0"/>
                      <a:ext cx="5269865" cy="7452995"/>
                    </a:xfrm>
                    <a:prstGeom prst="rect">
                      <a:avLst/>
                    </a:prstGeom>
                  </pic:spPr>
                </pic:pic>
              </a:graphicData>
            </a:graphic>
          </wp:inline>
        </w:drawing>
      </w:r>
      <w:r>
        <w:rPr>
          <w:rFonts w:eastAsia="仿宋_GB2312"/>
          <w:szCs w:val="28"/>
        </w:rPr>
        <w:drawing>
          <wp:inline distT="0" distB="0" distL="114300" distR="114300">
            <wp:extent cx="5269865" cy="7496175"/>
            <wp:effectExtent l="0" t="0" r="6985" b="9525"/>
            <wp:docPr id="42" name="图片 42" descr="2023年度环境保护培训计划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2023年度环境保护培训计划_页面_4"/>
                    <pic:cNvPicPr>
                      <a:picLocks noChangeAspect="1"/>
                    </pic:cNvPicPr>
                  </pic:nvPicPr>
                  <pic:blipFill>
                    <a:blip r:embed="rId59"/>
                    <a:stretch>
                      <a:fillRect/>
                    </a:stretch>
                  </pic:blipFill>
                  <pic:spPr>
                    <a:xfrm>
                      <a:off x="0" y="0"/>
                      <a:ext cx="5269865" cy="7496175"/>
                    </a:xfrm>
                    <a:prstGeom prst="rect">
                      <a:avLst/>
                    </a:prstGeom>
                  </pic:spPr>
                </pic:pic>
              </a:graphicData>
            </a:graphic>
          </wp:inline>
        </w:drawing>
      </w:r>
      <w:r>
        <w:rPr>
          <w:rFonts w:eastAsia="仿宋_GB2312"/>
          <w:szCs w:val="28"/>
        </w:rPr>
        <w:br w:type="page"/>
      </w:r>
    </w:p>
    <w:p>
      <w:pPr>
        <w:pStyle w:val="66"/>
        <w:spacing w:line="240" w:lineRule="auto"/>
        <w:ind w:firstLine="0" w:firstLineChars="0"/>
        <w:rPr>
          <w:rFonts w:hAnsi="仿宋" w:eastAsia="仿宋"/>
          <w:szCs w:val="28"/>
        </w:rPr>
      </w:pPr>
      <w:r>
        <w:rPr>
          <w:rFonts w:eastAsia="仿宋_GB2312"/>
          <w:szCs w:val="28"/>
        </w:rPr>
        <w:t>附件F</w:t>
      </w:r>
      <w:r>
        <w:rPr>
          <w:rFonts w:hint="eastAsia" w:eastAsia="仿宋_GB2312"/>
          <w:szCs w:val="28"/>
          <w:lang w:val="en-US" w:eastAsia="zh-CN"/>
        </w:rPr>
        <w:t>23</w:t>
      </w:r>
      <w:r>
        <w:rPr>
          <w:rFonts w:eastAsia="仿宋_GB2312"/>
          <w:szCs w:val="28"/>
        </w:rPr>
        <w:t>：</w:t>
      </w:r>
      <w:r>
        <w:rPr>
          <w:rFonts w:hint="eastAsia" w:eastAsia="仿宋_GB2312"/>
          <w:szCs w:val="28"/>
        </w:rPr>
        <w:t>应急预案培训表</w:t>
      </w:r>
    </w:p>
    <w:p>
      <w:pPr>
        <w:jc w:val="center"/>
        <w:rPr>
          <w:rFonts w:ascii="仿宋" w:hAnsi="仿宋" w:eastAsia="仿宋" w:cs="仿宋"/>
          <w:b/>
          <w:sz w:val="24"/>
        </w:rPr>
      </w:pPr>
      <w:bookmarkStart w:id="170" w:name="_Hlk99741329"/>
      <w:r>
        <w:rPr>
          <w:rFonts w:hint="eastAsia" w:ascii="仿宋" w:hAnsi="仿宋" w:eastAsia="仿宋" w:cs="仿宋"/>
          <w:b/>
          <w:sz w:val="24"/>
        </w:rPr>
        <w:t>应急预案培训表</w:t>
      </w:r>
    </w:p>
    <w:bookmarkEnd w:id="170"/>
    <w:tbl>
      <w:tblPr>
        <w:tblStyle w:val="3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131"/>
        <w:gridCol w:w="2130"/>
        <w:gridCol w:w="2131"/>
        <w:gridCol w:w="213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54" w:hRule="atLeast"/>
        </w:trPr>
        <w:tc>
          <w:tcPr>
            <w:tcW w:w="2131" w:type="dxa"/>
            <w:noWrap/>
            <w:vAlign w:val="center"/>
          </w:tcPr>
          <w:p>
            <w:pPr>
              <w:tabs>
                <w:tab w:val="left" w:pos="3885"/>
              </w:tabs>
              <w:jc w:val="center"/>
              <w:rPr>
                <w:rFonts w:ascii="仿宋" w:hAnsi="仿宋" w:eastAsia="仿宋" w:cs="仿宋"/>
                <w:sz w:val="24"/>
              </w:rPr>
            </w:pPr>
            <w:r>
              <w:rPr>
                <w:rFonts w:hint="eastAsia" w:ascii="仿宋" w:hAnsi="仿宋" w:eastAsia="仿宋" w:cs="仿宋"/>
                <w:sz w:val="24"/>
              </w:rPr>
              <w:t>培训日期</w:t>
            </w:r>
          </w:p>
        </w:tc>
        <w:tc>
          <w:tcPr>
            <w:tcW w:w="2130" w:type="dxa"/>
            <w:noWrap/>
            <w:vAlign w:val="center"/>
          </w:tcPr>
          <w:p>
            <w:pPr>
              <w:tabs>
                <w:tab w:val="left" w:pos="3885"/>
              </w:tabs>
              <w:jc w:val="center"/>
              <w:rPr>
                <w:rFonts w:ascii="仿宋" w:hAnsi="仿宋" w:eastAsia="仿宋" w:cs="仿宋"/>
                <w:sz w:val="24"/>
              </w:rPr>
            </w:pPr>
          </w:p>
        </w:tc>
        <w:tc>
          <w:tcPr>
            <w:tcW w:w="2131" w:type="dxa"/>
            <w:noWrap/>
            <w:vAlign w:val="center"/>
          </w:tcPr>
          <w:p>
            <w:pPr>
              <w:tabs>
                <w:tab w:val="left" w:pos="3885"/>
              </w:tabs>
              <w:jc w:val="center"/>
              <w:rPr>
                <w:rFonts w:ascii="仿宋" w:hAnsi="仿宋" w:eastAsia="仿宋" w:cs="仿宋"/>
                <w:sz w:val="24"/>
              </w:rPr>
            </w:pPr>
            <w:r>
              <w:rPr>
                <w:rFonts w:hint="eastAsia" w:ascii="仿宋" w:hAnsi="仿宋" w:eastAsia="仿宋" w:cs="仿宋"/>
                <w:sz w:val="24"/>
              </w:rPr>
              <w:t>地点</w:t>
            </w:r>
          </w:p>
        </w:tc>
        <w:tc>
          <w:tcPr>
            <w:tcW w:w="2130" w:type="dxa"/>
            <w:noWrap/>
            <w:vAlign w:val="center"/>
          </w:tcPr>
          <w:p>
            <w:pPr>
              <w:tabs>
                <w:tab w:val="left" w:pos="3885"/>
              </w:tabs>
              <w:jc w:val="center"/>
              <w:rPr>
                <w:rFonts w:ascii="仿宋" w:hAnsi="仿宋" w:eastAsia="仿宋" w:cs="仿宋"/>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2131" w:type="dxa"/>
            <w:noWrap/>
            <w:vAlign w:val="center"/>
          </w:tcPr>
          <w:p>
            <w:pPr>
              <w:tabs>
                <w:tab w:val="left" w:pos="3885"/>
              </w:tabs>
              <w:jc w:val="center"/>
              <w:rPr>
                <w:rFonts w:ascii="仿宋" w:hAnsi="仿宋" w:eastAsia="仿宋" w:cs="仿宋"/>
                <w:sz w:val="24"/>
              </w:rPr>
            </w:pPr>
            <w:r>
              <w:rPr>
                <w:rFonts w:hint="eastAsia" w:ascii="仿宋" w:hAnsi="仿宋" w:eastAsia="仿宋" w:cs="仿宋"/>
                <w:sz w:val="24"/>
              </w:rPr>
              <w:t>主持人</w:t>
            </w:r>
          </w:p>
        </w:tc>
        <w:tc>
          <w:tcPr>
            <w:tcW w:w="2130" w:type="dxa"/>
            <w:noWrap/>
            <w:vAlign w:val="center"/>
          </w:tcPr>
          <w:p>
            <w:pPr>
              <w:tabs>
                <w:tab w:val="left" w:pos="3885"/>
              </w:tabs>
              <w:jc w:val="center"/>
              <w:rPr>
                <w:rFonts w:ascii="仿宋" w:hAnsi="仿宋" w:eastAsia="仿宋" w:cs="仿宋"/>
                <w:sz w:val="24"/>
              </w:rPr>
            </w:pPr>
          </w:p>
        </w:tc>
        <w:tc>
          <w:tcPr>
            <w:tcW w:w="2131" w:type="dxa"/>
            <w:noWrap/>
            <w:vAlign w:val="center"/>
          </w:tcPr>
          <w:p>
            <w:pPr>
              <w:tabs>
                <w:tab w:val="left" w:pos="3885"/>
              </w:tabs>
              <w:jc w:val="center"/>
              <w:rPr>
                <w:rFonts w:ascii="仿宋" w:hAnsi="仿宋" w:eastAsia="仿宋" w:cs="仿宋"/>
                <w:sz w:val="24"/>
              </w:rPr>
            </w:pPr>
            <w:r>
              <w:rPr>
                <w:rFonts w:hint="eastAsia" w:ascii="仿宋" w:hAnsi="仿宋" w:eastAsia="仿宋" w:cs="仿宋"/>
                <w:sz w:val="24"/>
              </w:rPr>
              <w:t>记录人</w:t>
            </w:r>
          </w:p>
        </w:tc>
        <w:tc>
          <w:tcPr>
            <w:tcW w:w="2130" w:type="dxa"/>
            <w:noWrap/>
            <w:vAlign w:val="center"/>
          </w:tcPr>
          <w:p>
            <w:pPr>
              <w:tabs>
                <w:tab w:val="left" w:pos="3885"/>
              </w:tabs>
              <w:jc w:val="center"/>
              <w:rPr>
                <w:rFonts w:ascii="仿宋" w:hAnsi="仿宋" w:eastAsia="仿宋" w:cs="仿宋"/>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2131" w:type="dxa"/>
            <w:noWrap/>
            <w:vAlign w:val="center"/>
          </w:tcPr>
          <w:p>
            <w:pPr>
              <w:tabs>
                <w:tab w:val="left" w:pos="3885"/>
              </w:tabs>
              <w:jc w:val="center"/>
              <w:rPr>
                <w:rFonts w:ascii="仿宋" w:hAnsi="仿宋" w:eastAsia="仿宋" w:cs="仿宋"/>
                <w:sz w:val="24"/>
              </w:rPr>
            </w:pPr>
            <w:r>
              <w:rPr>
                <w:rFonts w:hint="eastAsia" w:ascii="仿宋" w:hAnsi="仿宋" w:eastAsia="仿宋" w:cs="仿宋"/>
                <w:sz w:val="24"/>
              </w:rPr>
              <w:t>出席人员</w:t>
            </w:r>
          </w:p>
        </w:tc>
        <w:tc>
          <w:tcPr>
            <w:tcW w:w="6391" w:type="dxa"/>
            <w:gridSpan w:val="3"/>
            <w:noWrap/>
            <w:vAlign w:val="center"/>
          </w:tcPr>
          <w:p>
            <w:pPr>
              <w:tabs>
                <w:tab w:val="left" w:pos="3885"/>
              </w:tabs>
              <w:jc w:val="center"/>
              <w:rPr>
                <w:rFonts w:ascii="仿宋" w:hAnsi="仿宋" w:eastAsia="仿宋" w:cs="仿宋"/>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trPr>
        <w:tc>
          <w:tcPr>
            <w:tcW w:w="8522" w:type="dxa"/>
            <w:gridSpan w:val="4"/>
            <w:noWrap/>
          </w:tcPr>
          <w:p>
            <w:pPr>
              <w:tabs>
                <w:tab w:val="left" w:pos="3885"/>
              </w:tabs>
              <w:jc w:val="left"/>
              <w:rPr>
                <w:rFonts w:ascii="仿宋" w:hAnsi="仿宋" w:eastAsia="仿宋" w:cs="仿宋"/>
              </w:rPr>
            </w:pPr>
            <w:r>
              <w:rPr>
                <w:rFonts w:hint="eastAsia" w:ascii="仿宋" w:hAnsi="仿宋" w:eastAsia="仿宋" w:cs="仿宋"/>
              </w:rPr>
              <w:t>培训记录：</w:t>
            </w:r>
          </w:p>
          <w:p>
            <w:pPr>
              <w:tabs>
                <w:tab w:val="left" w:pos="3885"/>
              </w:tabs>
              <w:jc w:val="center"/>
              <w:rPr>
                <w:rFonts w:ascii="仿宋" w:hAnsi="仿宋" w:eastAsia="仿宋" w:cs="仿宋"/>
              </w:rPr>
            </w:pPr>
          </w:p>
          <w:p>
            <w:pPr>
              <w:tabs>
                <w:tab w:val="left" w:pos="3885"/>
              </w:tabs>
              <w:jc w:val="center"/>
              <w:rPr>
                <w:rFonts w:ascii="仿宋" w:hAnsi="仿宋" w:eastAsia="仿宋" w:cs="仿宋"/>
              </w:rPr>
            </w:pPr>
          </w:p>
          <w:p>
            <w:pPr>
              <w:tabs>
                <w:tab w:val="left" w:pos="3885"/>
              </w:tabs>
              <w:jc w:val="center"/>
              <w:rPr>
                <w:rFonts w:ascii="仿宋" w:hAnsi="仿宋" w:eastAsia="仿宋" w:cs="仿宋"/>
              </w:rPr>
            </w:pPr>
          </w:p>
          <w:p>
            <w:pPr>
              <w:tabs>
                <w:tab w:val="left" w:pos="3885"/>
              </w:tabs>
              <w:jc w:val="center"/>
              <w:rPr>
                <w:rFonts w:ascii="仿宋" w:hAnsi="仿宋" w:eastAsia="仿宋" w:cs="仿宋"/>
              </w:rPr>
            </w:pPr>
          </w:p>
          <w:p>
            <w:pPr>
              <w:tabs>
                <w:tab w:val="left" w:pos="3885"/>
              </w:tabs>
              <w:jc w:val="center"/>
              <w:rPr>
                <w:rFonts w:ascii="仿宋" w:hAnsi="仿宋" w:eastAsia="仿宋" w:cs="仿宋"/>
              </w:rPr>
            </w:pPr>
          </w:p>
          <w:p>
            <w:pPr>
              <w:tabs>
                <w:tab w:val="left" w:pos="3885"/>
              </w:tabs>
              <w:jc w:val="center"/>
              <w:rPr>
                <w:rFonts w:ascii="仿宋" w:hAnsi="仿宋" w:eastAsia="仿宋" w:cs="仿宋"/>
              </w:rPr>
            </w:pPr>
          </w:p>
          <w:p>
            <w:pPr>
              <w:tabs>
                <w:tab w:val="left" w:pos="3885"/>
              </w:tabs>
              <w:jc w:val="center"/>
              <w:rPr>
                <w:rFonts w:ascii="仿宋" w:hAnsi="仿宋" w:eastAsia="仿宋" w:cs="仿宋"/>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tabs>
                <w:tab w:val="left" w:pos="3885"/>
              </w:tabs>
              <w:jc w:val="center"/>
              <w:rPr>
                <w:rFonts w:ascii="仿宋" w:hAnsi="仿宋" w:eastAsia="仿宋" w:cs="仿宋"/>
              </w:rPr>
            </w:pPr>
          </w:p>
          <w:p>
            <w:pPr>
              <w:tabs>
                <w:tab w:val="left" w:pos="3885"/>
              </w:tabs>
              <w:jc w:val="center"/>
              <w:rPr>
                <w:rFonts w:ascii="仿宋" w:hAnsi="仿宋" w:eastAsia="仿宋" w:cs="仿宋"/>
              </w:rPr>
            </w:pPr>
          </w:p>
          <w:p>
            <w:pPr>
              <w:tabs>
                <w:tab w:val="left" w:pos="3885"/>
              </w:tabs>
              <w:jc w:val="center"/>
              <w:rPr>
                <w:rFonts w:ascii="仿宋" w:hAnsi="仿宋" w:eastAsia="仿宋" w:cs="仿宋"/>
              </w:rPr>
            </w:pPr>
          </w:p>
          <w:p>
            <w:pPr>
              <w:tabs>
                <w:tab w:val="left" w:pos="3885"/>
              </w:tabs>
              <w:jc w:val="center"/>
              <w:rPr>
                <w:rFonts w:ascii="仿宋" w:hAnsi="仿宋" w:eastAsia="仿宋" w:cs="仿宋"/>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p>
            <w:pPr>
              <w:pStyle w:val="131"/>
              <w:rPr>
                <w:rFonts w:ascii="仿宋" w:hAnsi="仿宋" w:eastAsia="仿宋" w:cs="仿宋"/>
                <w:color w:val="auto"/>
              </w:rPr>
            </w:pPr>
          </w:p>
        </w:tc>
      </w:tr>
    </w:tbl>
    <w:p>
      <w:pPr>
        <w:jc w:val="left"/>
        <w:rPr>
          <w:rFonts w:ascii="宋体" w:hAnsi="宋体"/>
          <w:b/>
          <w:sz w:val="24"/>
        </w:rPr>
      </w:pPr>
    </w:p>
    <w:p>
      <w:pPr>
        <w:jc w:val="left"/>
        <w:rPr>
          <w:rFonts w:ascii="宋体" w:hAnsi="宋体"/>
          <w:b/>
          <w:sz w:val="24"/>
        </w:rPr>
        <w:sectPr>
          <w:pgSz w:w="11906" w:h="16838"/>
          <w:pgMar w:top="1440" w:right="1800" w:bottom="1440" w:left="1800" w:header="1077" w:footer="1020" w:gutter="0"/>
          <w:pgBorders>
            <w:top w:val="none" w:sz="0" w:space="0"/>
            <w:left w:val="none" w:sz="0" w:space="0"/>
            <w:bottom w:val="none" w:sz="0" w:space="0"/>
            <w:right w:val="none" w:sz="0" w:space="0"/>
          </w:pgBorders>
          <w:cols w:space="720" w:num="1"/>
          <w:docGrid w:type="lines" w:linePitch="312" w:charSpace="0"/>
        </w:sectPr>
      </w:pPr>
    </w:p>
    <w:p>
      <w:pPr>
        <w:rPr>
          <w:rFonts w:hint="eastAsia" w:eastAsia="仿宋_GB2312"/>
          <w:color w:val="FF0000"/>
          <w:sz w:val="28"/>
          <w:szCs w:val="28"/>
          <w:lang w:eastAsia="zh-CN"/>
        </w:rPr>
      </w:pPr>
      <w:r>
        <w:rPr>
          <w:rFonts w:eastAsia="仿宋_GB2312"/>
          <w:color w:val="FF0000"/>
          <w:sz w:val="28"/>
          <w:szCs w:val="28"/>
        </w:rPr>
        <w:t>附件F</w:t>
      </w:r>
      <w:r>
        <w:rPr>
          <w:rFonts w:hint="eastAsia" w:eastAsia="仿宋_GB2312"/>
          <w:color w:val="FF0000"/>
          <w:sz w:val="28"/>
          <w:szCs w:val="28"/>
          <w:lang w:val="en-US" w:eastAsia="zh-CN"/>
        </w:rPr>
        <w:t>24</w:t>
      </w:r>
      <w:r>
        <w:rPr>
          <w:rFonts w:eastAsia="仿宋_GB2312"/>
          <w:color w:val="FF0000"/>
          <w:sz w:val="28"/>
          <w:szCs w:val="28"/>
        </w:rPr>
        <w:t>：</w:t>
      </w:r>
      <w:r>
        <w:rPr>
          <w:rFonts w:hint="eastAsia" w:eastAsia="仿宋_GB2312"/>
          <w:color w:val="FF0000"/>
          <w:sz w:val="28"/>
          <w:szCs w:val="28"/>
        </w:rPr>
        <w:t>应急演练</w:t>
      </w:r>
      <w:r>
        <w:rPr>
          <w:rFonts w:hint="eastAsia" w:eastAsia="仿宋_GB2312"/>
          <w:color w:val="FF0000"/>
          <w:sz w:val="28"/>
          <w:szCs w:val="28"/>
          <w:lang w:eastAsia="zh-CN"/>
        </w:rPr>
        <w:t>计划</w:t>
      </w:r>
    </w:p>
    <w:p>
      <w:pPr>
        <w:rPr>
          <w:rFonts w:hint="eastAsia" w:eastAsia="仿宋_GB2312"/>
          <w:sz w:val="28"/>
          <w:szCs w:val="28"/>
          <w:lang w:eastAsia="zh-CN"/>
        </w:rPr>
      </w:pPr>
      <w:r>
        <w:rPr>
          <w:rFonts w:hint="eastAsia" w:eastAsia="仿宋_GB2312"/>
          <w:sz w:val="28"/>
          <w:szCs w:val="28"/>
          <w:lang w:eastAsia="zh-CN"/>
        </w:rPr>
        <w:drawing>
          <wp:inline distT="0" distB="0" distL="114300" distR="114300">
            <wp:extent cx="5269230" cy="7453630"/>
            <wp:effectExtent l="0" t="0" r="7620" b="13970"/>
            <wp:docPr id="22" name="图片 22" descr="2023年环保应急预案演练计划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2023年环保应急预案演练计划_页面_1"/>
                    <pic:cNvPicPr>
                      <a:picLocks noChangeAspect="1"/>
                    </pic:cNvPicPr>
                  </pic:nvPicPr>
                  <pic:blipFill>
                    <a:blip r:embed="rId60"/>
                    <a:stretch>
                      <a:fillRect/>
                    </a:stretch>
                  </pic:blipFill>
                  <pic:spPr>
                    <a:xfrm>
                      <a:off x="0" y="0"/>
                      <a:ext cx="5269230" cy="7453630"/>
                    </a:xfrm>
                    <a:prstGeom prst="rect">
                      <a:avLst/>
                    </a:prstGeom>
                  </pic:spPr>
                </pic:pic>
              </a:graphicData>
            </a:graphic>
          </wp:inline>
        </w:drawing>
      </w:r>
      <w:r>
        <w:rPr>
          <w:rFonts w:hint="eastAsia" w:eastAsia="仿宋_GB2312"/>
          <w:sz w:val="28"/>
          <w:szCs w:val="28"/>
          <w:lang w:eastAsia="zh-CN"/>
        </w:rPr>
        <w:drawing>
          <wp:inline distT="0" distB="0" distL="114300" distR="114300">
            <wp:extent cx="5271135" cy="7453630"/>
            <wp:effectExtent l="0" t="0" r="5715" b="13970"/>
            <wp:docPr id="23" name="图片 23" descr="2023年环保应急预案演练计划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2023年环保应急预案演练计划_页面_2"/>
                    <pic:cNvPicPr>
                      <a:picLocks noChangeAspect="1"/>
                    </pic:cNvPicPr>
                  </pic:nvPicPr>
                  <pic:blipFill>
                    <a:blip r:embed="rId61"/>
                    <a:stretch>
                      <a:fillRect/>
                    </a:stretch>
                  </pic:blipFill>
                  <pic:spPr>
                    <a:xfrm>
                      <a:off x="0" y="0"/>
                      <a:ext cx="5271135" cy="7453630"/>
                    </a:xfrm>
                    <a:prstGeom prst="rect">
                      <a:avLst/>
                    </a:prstGeom>
                  </pic:spPr>
                </pic:pic>
              </a:graphicData>
            </a:graphic>
          </wp:inline>
        </w:drawing>
      </w:r>
      <w:r>
        <w:rPr>
          <w:rFonts w:hint="eastAsia" w:eastAsia="仿宋_GB2312"/>
          <w:sz w:val="28"/>
          <w:szCs w:val="28"/>
          <w:lang w:eastAsia="zh-CN"/>
        </w:rPr>
        <w:drawing>
          <wp:inline distT="0" distB="0" distL="114300" distR="114300">
            <wp:extent cx="5271135" cy="7453630"/>
            <wp:effectExtent l="0" t="0" r="5715" b="13970"/>
            <wp:docPr id="24" name="图片 24" descr="2023年环保应急预案演练计划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2023年环保应急预案演练计划_页面_3"/>
                    <pic:cNvPicPr>
                      <a:picLocks noChangeAspect="1"/>
                    </pic:cNvPicPr>
                  </pic:nvPicPr>
                  <pic:blipFill>
                    <a:blip r:embed="rId62"/>
                    <a:stretch>
                      <a:fillRect/>
                    </a:stretch>
                  </pic:blipFill>
                  <pic:spPr>
                    <a:xfrm>
                      <a:off x="0" y="0"/>
                      <a:ext cx="5271135" cy="7453630"/>
                    </a:xfrm>
                    <a:prstGeom prst="rect">
                      <a:avLst/>
                    </a:prstGeom>
                  </pic:spPr>
                </pic:pic>
              </a:graphicData>
            </a:graphic>
          </wp:inline>
        </w:drawing>
      </w:r>
      <w:r>
        <w:rPr>
          <w:rFonts w:hint="eastAsia" w:eastAsia="仿宋_GB2312"/>
          <w:sz w:val="28"/>
          <w:szCs w:val="28"/>
          <w:lang w:eastAsia="zh-CN"/>
        </w:rPr>
        <w:drawing>
          <wp:inline distT="0" distB="0" distL="114300" distR="114300">
            <wp:extent cx="5271135" cy="7453630"/>
            <wp:effectExtent l="0" t="0" r="5715" b="13970"/>
            <wp:docPr id="36" name="图片 36" descr="2023年环保应急预案演练计划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2023年环保应急预案演练计划_页面_4"/>
                    <pic:cNvPicPr>
                      <a:picLocks noChangeAspect="1"/>
                    </pic:cNvPicPr>
                  </pic:nvPicPr>
                  <pic:blipFill>
                    <a:blip r:embed="rId63"/>
                    <a:stretch>
                      <a:fillRect/>
                    </a:stretch>
                  </pic:blipFill>
                  <pic:spPr>
                    <a:xfrm>
                      <a:off x="0" y="0"/>
                      <a:ext cx="5271135" cy="7453630"/>
                    </a:xfrm>
                    <a:prstGeom prst="rect">
                      <a:avLst/>
                    </a:prstGeom>
                  </pic:spPr>
                </pic:pic>
              </a:graphicData>
            </a:graphic>
          </wp:inline>
        </w:drawing>
      </w:r>
    </w:p>
    <w:p>
      <w:pPr>
        <w:rPr>
          <w:rFonts w:eastAsia="仿宋_GB2312"/>
          <w:sz w:val="28"/>
          <w:szCs w:val="28"/>
        </w:rPr>
      </w:pPr>
      <w:r>
        <w:rPr>
          <w:rFonts w:eastAsia="仿宋_GB2312"/>
          <w:sz w:val="28"/>
          <w:szCs w:val="28"/>
        </w:rPr>
        <w:br w:type="page"/>
      </w:r>
    </w:p>
    <w:p>
      <w:pPr>
        <w:rPr>
          <w:rFonts w:eastAsia="仿宋_GB2312"/>
          <w:sz w:val="28"/>
          <w:szCs w:val="28"/>
        </w:rPr>
      </w:pPr>
      <w:r>
        <w:rPr>
          <w:rFonts w:eastAsia="仿宋_GB2312"/>
          <w:sz w:val="28"/>
          <w:szCs w:val="28"/>
        </w:rPr>
        <w:t>附件F</w:t>
      </w:r>
      <w:r>
        <w:rPr>
          <w:rFonts w:hint="eastAsia" w:eastAsia="仿宋_GB2312"/>
          <w:sz w:val="28"/>
          <w:szCs w:val="28"/>
          <w:lang w:val="en-US" w:eastAsia="zh-CN"/>
        </w:rPr>
        <w:t>25</w:t>
      </w:r>
      <w:r>
        <w:rPr>
          <w:rFonts w:eastAsia="仿宋_GB2312"/>
          <w:sz w:val="28"/>
          <w:szCs w:val="28"/>
        </w:rPr>
        <w:t>：</w:t>
      </w:r>
      <w:r>
        <w:rPr>
          <w:rFonts w:hint="eastAsia" w:eastAsia="仿宋_GB2312"/>
          <w:sz w:val="28"/>
          <w:szCs w:val="28"/>
        </w:rPr>
        <w:t>应急演练记录表</w:t>
      </w:r>
    </w:p>
    <w:p>
      <w:pPr>
        <w:jc w:val="center"/>
        <w:rPr>
          <w:rFonts w:eastAsia="仿宋"/>
          <w:b/>
          <w:sz w:val="24"/>
        </w:rPr>
      </w:pPr>
      <w:r>
        <w:rPr>
          <w:rFonts w:eastAsia="仿宋"/>
          <w:b/>
          <w:sz w:val="24"/>
        </w:rPr>
        <w:t>应急演练记录表</w:t>
      </w:r>
    </w:p>
    <w:tbl>
      <w:tblPr>
        <w:tblStyle w:val="3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131"/>
        <w:gridCol w:w="2130"/>
        <w:gridCol w:w="2131"/>
        <w:gridCol w:w="213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2131" w:type="dxa"/>
            <w:noWrap/>
            <w:vAlign w:val="center"/>
          </w:tcPr>
          <w:p>
            <w:pPr>
              <w:tabs>
                <w:tab w:val="left" w:pos="3885"/>
              </w:tabs>
              <w:jc w:val="center"/>
              <w:rPr>
                <w:rFonts w:eastAsia="仿宋"/>
                <w:sz w:val="24"/>
              </w:rPr>
            </w:pPr>
            <w:r>
              <w:rPr>
                <w:rFonts w:eastAsia="仿宋"/>
                <w:sz w:val="24"/>
              </w:rPr>
              <w:t>单位</w:t>
            </w:r>
          </w:p>
        </w:tc>
        <w:tc>
          <w:tcPr>
            <w:tcW w:w="2130" w:type="dxa"/>
            <w:noWrap/>
            <w:vAlign w:val="center"/>
          </w:tcPr>
          <w:p>
            <w:pPr>
              <w:tabs>
                <w:tab w:val="left" w:pos="3885"/>
              </w:tabs>
              <w:jc w:val="center"/>
              <w:rPr>
                <w:rFonts w:eastAsia="仿宋"/>
                <w:sz w:val="24"/>
              </w:rPr>
            </w:pPr>
          </w:p>
        </w:tc>
        <w:tc>
          <w:tcPr>
            <w:tcW w:w="2131" w:type="dxa"/>
            <w:noWrap/>
            <w:vAlign w:val="center"/>
          </w:tcPr>
          <w:p>
            <w:pPr>
              <w:tabs>
                <w:tab w:val="left" w:pos="3885"/>
              </w:tabs>
              <w:jc w:val="center"/>
              <w:rPr>
                <w:rFonts w:eastAsia="仿宋"/>
                <w:sz w:val="24"/>
              </w:rPr>
            </w:pPr>
            <w:r>
              <w:rPr>
                <w:rFonts w:eastAsia="仿宋"/>
                <w:sz w:val="24"/>
              </w:rPr>
              <w:t>时间</w:t>
            </w:r>
          </w:p>
        </w:tc>
        <w:tc>
          <w:tcPr>
            <w:tcW w:w="2130" w:type="dxa"/>
            <w:noWrap/>
            <w:vAlign w:val="center"/>
          </w:tcPr>
          <w:p>
            <w:pPr>
              <w:tabs>
                <w:tab w:val="left" w:pos="3885"/>
              </w:tabs>
              <w:jc w:val="center"/>
              <w:rPr>
                <w:rFonts w:eastAsia="仿宋"/>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atLeast"/>
        </w:trPr>
        <w:tc>
          <w:tcPr>
            <w:tcW w:w="2131" w:type="dxa"/>
            <w:noWrap/>
            <w:vAlign w:val="center"/>
          </w:tcPr>
          <w:p>
            <w:pPr>
              <w:tabs>
                <w:tab w:val="left" w:pos="3885"/>
              </w:tabs>
              <w:jc w:val="center"/>
              <w:rPr>
                <w:rFonts w:eastAsia="仿宋"/>
                <w:sz w:val="24"/>
              </w:rPr>
            </w:pPr>
            <w:r>
              <w:rPr>
                <w:rFonts w:eastAsia="仿宋"/>
                <w:sz w:val="24"/>
              </w:rPr>
              <w:t>主持人</w:t>
            </w:r>
          </w:p>
        </w:tc>
        <w:tc>
          <w:tcPr>
            <w:tcW w:w="2130" w:type="dxa"/>
            <w:noWrap/>
            <w:vAlign w:val="center"/>
          </w:tcPr>
          <w:p>
            <w:pPr>
              <w:tabs>
                <w:tab w:val="left" w:pos="3885"/>
              </w:tabs>
              <w:jc w:val="center"/>
              <w:rPr>
                <w:rFonts w:eastAsia="仿宋"/>
                <w:sz w:val="24"/>
              </w:rPr>
            </w:pPr>
          </w:p>
        </w:tc>
        <w:tc>
          <w:tcPr>
            <w:tcW w:w="2131" w:type="dxa"/>
            <w:noWrap/>
            <w:vAlign w:val="center"/>
          </w:tcPr>
          <w:p>
            <w:pPr>
              <w:tabs>
                <w:tab w:val="left" w:pos="3885"/>
              </w:tabs>
              <w:jc w:val="center"/>
              <w:rPr>
                <w:rFonts w:eastAsia="仿宋"/>
                <w:sz w:val="24"/>
              </w:rPr>
            </w:pPr>
            <w:r>
              <w:rPr>
                <w:rFonts w:eastAsia="仿宋"/>
                <w:sz w:val="24"/>
              </w:rPr>
              <w:t>地点</w:t>
            </w:r>
          </w:p>
        </w:tc>
        <w:tc>
          <w:tcPr>
            <w:tcW w:w="2130" w:type="dxa"/>
            <w:noWrap/>
            <w:vAlign w:val="center"/>
          </w:tcPr>
          <w:p>
            <w:pPr>
              <w:tabs>
                <w:tab w:val="left" w:pos="3885"/>
              </w:tabs>
              <w:jc w:val="center"/>
              <w:rPr>
                <w:rFonts w:eastAsia="仿宋"/>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797" w:hRule="atLeast"/>
        </w:trPr>
        <w:tc>
          <w:tcPr>
            <w:tcW w:w="8522" w:type="dxa"/>
            <w:gridSpan w:val="4"/>
            <w:noWrap/>
            <w:vAlign w:val="center"/>
          </w:tcPr>
          <w:p>
            <w:pPr>
              <w:tabs>
                <w:tab w:val="left" w:pos="3885"/>
              </w:tabs>
              <w:jc w:val="left"/>
              <w:rPr>
                <w:rFonts w:eastAsia="仿宋"/>
                <w:sz w:val="24"/>
              </w:rPr>
            </w:pPr>
            <w:r>
              <w:rPr>
                <w:rFonts w:eastAsia="仿宋"/>
                <w:sz w:val="24"/>
              </w:rPr>
              <w:t>演练内容：</w:t>
            </w:r>
          </w:p>
          <w:p>
            <w:pPr>
              <w:tabs>
                <w:tab w:val="left" w:pos="3885"/>
              </w:tabs>
              <w:jc w:val="center"/>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p>
            <w:pPr>
              <w:tabs>
                <w:tab w:val="left" w:pos="3885"/>
              </w:tabs>
              <w:rPr>
                <w:rFonts w:eastAsia="仿宋"/>
                <w:sz w:val="24"/>
              </w:rPr>
            </w:pPr>
          </w:p>
        </w:tc>
      </w:tr>
    </w:tbl>
    <w:p>
      <w:pPr>
        <w:rPr>
          <w:rFonts w:hint="eastAsia" w:eastAsia="仿宋_GB2312"/>
          <w:color w:val="FF0000"/>
          <w:sz w:val="28"/>
          <w:szCs w:val="28"/>
          <w:lang w:eastAsia="zh-CN"/>
        </w:rPr>
      </w:pPr>
      <w:r>
        <w:rPr>
          <w:rFonts w:eastAsia="仿宋_GB2312"/>
          <w:color w:val="FF0000"/>
          <w:sz w:val="28"/>
          <w:szCs w:val="28"/>
        </w:rPr>
        <w:t>附件F</w:t>
      </w:r>
      <w:r>
        <w:rPr>
          <w:rFonts w:hint="eastAsia" w:eastAsia="仿宋_GB2312"/>
          <w:color w:val="FF0000"/>
          <w:sz w:val="28"/>
          <w:szCs w:val="28"/>
          <w:lang w:val="en-US" w:eastAsia="zh-CN"/>
        </w:rPr>
        <w:t>26</w:t>
      </w:r>
      <w:r>
        <w:rPr>
          <w:rFonts w:eastAsia="仿宋_GB2312"/>
          <w:color w:val="FF0000"/>
          <w:sz w:val="28"/>
          <w:szCs w:val="28"/>
        </w:rPr>
        <w:t>：</w:t>
      </w:r>
      <w:r>
        <w:rPr>
          <w:rFonts w:hint="eastAsia" w:eastAsia="仿宋_GB2312"/>
          <w:color w:val="FF0000"/>
          <w:sz w:val="28"/>
          <w:szCs w:val="28"/>
        </w:rPr>
        <w:t>应急</w:t>
      </w:r>
      <w:r>
        <w:rPr>
          <w:rFonts w:hint="eastAsia" w:eastAsia="仿宋_GB2312"/>
          <w:color w:val="FF0000"/>
          <w:sz w:val="28"/>
          <w:szCs w:val="28"/>
          <w:lang w:eastAsia="zh-CN"/>
        </w:rPr>
        <w:t>监测协议</w:t>
      </w:r>
    </w:p>
    <w:p>
      <w:pPr>
        <w:pStyle w:val="18"/>
        <w:rPr>
          <w:rFonts w:hint="eastAsia" w:eastAsia="宋体"/>
          <w:color w:val="FF0000"/>
          <w:lang w:eastAsia="zh-CN"/>
        </w:rPr>
      </w:pPr>
      <w:r>
        <w:rPr>
          <w:rFonts w:hint="eastAsia" w:eastAsia="宋体"/>
          <w:color w:val="FF0000"/>
          <w:lang w:eastAsia="zh-CN"/>
        </w:rPr>
        <w:drawing>
          <wp:inline distT="0" distB="0" distL="114300" distR="114300">
            <wp:extent cx="5267960" cy="7449820"/>
            <wp:effectExtent l="0" t="0" r="8890" b="17780"/>
            <wp:docPr id="37" name="图片 37" descr="百川环境监测合同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百川环境监测合同_页面_1"/>
                    <pic:cNvPicPr>
                      <a:picLocks noChangeAspect="1"/>
                    </pic:cNvPicPr>
                  </pic:nvPicPr>
                  <pic:blipFill>
                    <a:blip r:embed="rId64"/>
                    <a:stretch>
                      <a:fillRect/>
                    </a:stretch>
                  </pic:blipFill>
                  <pic:spPr>
                    <a:xfrm>
                      <a:off x="0" y="0"/>
                      <a:ext cx="5267960" cy="7449820"/>
                    </a:xfrm>
                    <a:prstGeom prst="rect">
                      <a:avLst/>
                    </a:prstGeom>
                  </pic:spPr>
                </pic:pic>
              </a:graphicData>
            </a:graphic>
          </wp:inline>
        </w:drawing>
      </w:r>
      <w:r>
        <w:rPr>
          <w:rFonts w:hint="eastAsia" w:eastAsia="宋体"/>
          <w:color w:val="FF0000"/>
          <w:lang w:eastAsia="zh-CN"/>
        </w:rPr>
        <w:drawing>
          <wp:inline distT="0" distB="0" distL="114300" distR="114300">
            <wp:extent cx="5267960" cy="7449820"/>
            <wp:effectExtent l="0" t="0" r="8890" b="17780"/>
            <wp:docPr id="38" name="图片 38" descr="百川环境监测合同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百川环境监测合同_页面_2"/>
                    <pic:cNvPicPr>
                      <a:picLocks noChangeAspect="1"/>
                    </pic:cNvPicPr>
                  </pic:nvPicPr>
                  <pic:blipFill>
                    <a:blip r:embed="rId65"/>
                    <a:stretch>
                      <a:fillRect/>
                    </a:stretch>
                  </pic:blipFill>
                  <pic:spPr>
                    <a:xfrm>
                      <a:off x="0" y="0"/>
                      <a:ext cx="5267960" cy="7449820"/>
                    </a:xfrm>
                    <a:prstGeom prst="rect">
                      <a:avLst/>
                    </a:prstGeom>
                  </pic:spPr>
                </pic:pic>
              </a:graphicData>
            </a:graphic>
          </wp:inline>
        </w:drawing>
      </w:r>
      <w:r>
        <w:rPr>
          <w:rFonts w:hint="eastAsia" w:eastAsia="宋体"/>
          <w:color w:val="FF0000"/>
          <w:lang w:eastAsia="zh-CN"/>
        </w:rPr>
        <w:drawing>
          <wp:inline distT="0" distB="0" distL="114300" distR="114300">
            <wp:extent cx="5267960" cy="7449820"/>
            <wp:effectExtent l="0" t="0" r="8890" b="17780"/>
            <wp:docPr id="39" name="图片 39" descr="百川环境监测合同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百川环境监测合同_页面_3"/>
                    <pic:cNvPicPr>
                      <a:picLocks noChangeAspect="1"/>
                    </pic:cNvPicPr>
                  </pic:nvPicPr>
                  <pic:blipFill>
                    <a:blip r:embed="rId66"/>
                    <a:stretch>
                      <a:fillRect/>
                    </a:stretch>
                  </pic:blipFill>
                  <pic:spPr>
                    <a:xfrm>
                      <a:off x="0" y="0"/>
                      <a:ext cx="5267960" cy="7449820"/>
                    </a:xfrm>
                    <a:prstGeom prst="rect">
                      <a:avLst/>
                    </a:prstGeom>
                  </pic:spPr>
                </pic:pic>
              </a:graphicData>
            </a:graphic>
          </wp:inline>
        </w:drawing>
      </w:r>
    </w:p>
    <w:p>
      <w:pPr>
        <w:rPr>
          <w:rFonts w:eastAsia="仿宋_GB2312"/>
          <w:color w:val="FF0000"/>
          <w:sz w:val="28"/>
          <w:szCs w:val="28"/>
        </w:rPr>
      </w:pPr>
      <w:r>
        <w:rPr>
          <w:rFonts w:eastAsia="仿宋_GB2312"/>
          <w:color w:val="FF0000"/>
          <w:sz w:val="28"/>
          <w:szCs w:val="28"/>
        </w:rPr>
        <w:br w:type="page"/>
      </w:r>
    </w:p>
    <w:p>
      <w:pPr>
        <w:rPr>
          <w:rFonts w:hint="eastAsia" w:eastAsia="仿宋_GB2312"/>
          <w:color w:val="FF0000"/>
          <w:sz w:val="28"/>
          <w:szCs w:val="28"/>
          <w:lang w:eastAsia="zh-CN"/>
        </w:rPr>
      </w:pPr>
      <w:r>
        <w:rPr>
          <w:rFonts w:eastAsia="仿宋_GB2312"/>
          <w:color w:val="FF0000"/>
          <w:sz w:val="28"/>
          <w:szCs w:val="28"/>
        </w:rPr>
        <w:t>附件F</w:t>
      </w:r>
      <w:r>
        <w:rPr>
          <w:rFonts w:hint="eastAsia" w:eastAsia="仿宋_GB2312"/>
          <w:color w:val="FF0000"/>
          <w:sz w:val="28"/>
          <w:szCs w:val="28"/>
          <w:lang w:val="en-US" w:eastAsia="zh-CN"/>
        </w:rPr>
        <w:t>27</w:t>
      </w:r>
      <w:r>
        <w:rPr>
          <w:rFonts w:eastAsia="仿宋_GB2312"/>
          <w:color w:val="FF0000"/>
          <w:sz w:val="28"/>
          <w:szCs w:val="28"/>
        </w:rPr>
        <w:t>：</w:t>
      </w:r>
      <w:r>
        <w:rPr>
          <w:rFonts w:hint="eastAsia" w:eastAsia="仿宋_GB2312"/>
          <w:color w:val="FF0000"/>
          <w:sz w:val="28"/>
          <w:szCs w:val="28"/>
        </w:rPr>
        <w:t>应急预案征求意见表</w:t>
      </w:r>
    </w:p>
    <w:p>
      <w:pPr>
        <w:rPr>
          <w:rFonts w:hint="eastAsia"/>
          <w:lang w:eastAsia="zh-CN"/>
        </w:rPr>
      </w:pPr>
      <w:r>
        <w:rPr>
          <w:rFonts w:hint="eastAsia"/>
          <w:lang w:eastAsia="zh-CN"/>
        </w:rPr>
        <w:drawing>
          <wp:inline distT="0" distB="0" distL="114300" distR="114300">
            <wp:extent cx="5267960" cy="7449820"/>
            <wp:effectExtent l="0" t="0" r="8890" b="17780"/>
            <wp:docPr id="43" name="图片 43" descr="航欧突发环境事件应急预案意见征求表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航欧突发环境事件应急预案意见征求表_页面_1"/>
                    <pic:cNvPicPr>
                      <a:picLocks noChangeAspect="1"/>
                    </pic:cNvPicPr>
                  </pic:nvPicPr>
                  <pic:blipFill>
                    <a:blip r:embed="rId67"/>
                    <a:stretch>
                      <a:fillRect/>
                    </a:stretch>
                  </pic:blipFill>
                  <pic:spPr>
                    <a:xfrm>
                      <a:off x="0" y="0"/>
                      <a:ext cx="5267960" cy="7449820"/>
                    </a:xfrm>
                    <a:prstGeom prst="rect">
                      <a:avLst/>
                    </a:prstGeom>
                  </pic:spPr>
                </pic:pic>
              </a:graphicData>
            </a:graphic>
          </wp:inline>
        </w:drawing>
      </w:r>
      <w:r>
        <w:rPr>
          <w:rFonts w:hint="eastAsia"/>
          <w:lang w:eastAsia="zh-CN"/>
        </w:rPr>
        <w:drawing>
          <wp:inline distT="0" distB="0" distL="114300" distR="114300">
            <wp:extent cx="5267960" cy="7449820"/>
            <wp:effectExtent l="0" t="0" r="8890" b="17780"/>
            <wp:docPr id="44" name="图片 44" descr="航欧突发环境事件应急预案意见征求表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航欧突发环境事件应急预案意见征求表_页面_2"/>
                    <pic:cNvPicPr>
                      <a:picLocks noChangeAspect="1"/>
                    </pic:cNvPicPr>
                  </pic:nvPicPr>
                  <pic:blipFill>
                    <a:blip r:embed="rId68"/>
                    <a:stretch>
                      <a:fillRect/>
                    </a:stretch>
                  </pic:blipFill>
                  <pic:spPr>
                    <a:xfrm>
                      <a:off x="0" y="0"/>
                      <a:ext cx="5267960" cy="7449820"/>
                    </a:xfrm>
                    <a:prstGeom prst="rect">
                      <a:avLst/>
                    </a:prstGeom>
                  </pic:spPr>
                </pic:pic>
              </a:graphicData>
            </a:graphic>
          </wp:inline>
        </w:drawing>
      </w:r>
      <w:r>
        <w:rPr>
          <w:rFonts w:hint="eastAsia"/>
          <w:lang w:eastAsia="zh-CN"/>
        </w:rPr>
        <w:drawing>
          <wp:inline distT="0" distB="0" distL="114300" distR="114300">
            <wp:extent cx="5267960" cy="7449820"/>
            <wp:effectExtent l="0" t="0" r="8890" b="17780"/>
            <wp:docPr id="45" name="图片 45" descr="航欧突发环境事件应急预案意见征求表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航欧突发环境事件应急预案意见征求表_页面_3"/>
                    <pic:cNvPicPr>
                      <a:picLocks noChangeAspect="1"/>
                    </pic:cNvPicPr>
                  </pic:nvPicPr>
                  <pic:blipFill>
                    <a:blip r:embed="rId69"/>
                    <a:stretch>
                      <a:fillRect/>
                    </a:stretch>
                  </pic:blipFill>
                  <pic:spPr>
                    <a:xfrm>
                      <a:off x="0" y="0"/>
                      <a:ext cx="5267960" cy="7449820"/>
                    </a:xfrm>
                    <a:prstGeom prst="rect">
                      <a:avLst/>
                    </a:prstGeom>
                  </pic:spPr>
                </pic:pic>
              </a:graphicData>
            </a:graphic>
          </wp:inline>
        </w:drawing>
      </w:r>
      <w:r>
        <w:rPr>
          <w:rFonts w:hint="eastAsia"/>
          <w:lang w:eastAsia="zh-CN"/>
        </w:rPr>
        <w:drawing>
          <wp:inline distT="0" distB="0" distL="114300" distR="114300">
            <wp:extent cx="5267960" cy="7449820"/>
            <wp:effectExtent l="0" t="0" r="8890" b="17780"/>
            <wp:docPr id="46" name="图片 46" descr="航欧突发环境事件应急预案意见征求表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航欧突发环境事件应急预案意见征求表_页面_4"/>
                    <pic:cNvPicPr>
                      <a:picLocks noChangeAspect="1"/>
                    </pic:cNvPicPr>
                  </pic:nvPicPr>
                  <pic:blipFill>
                    <a:blip r:embed="rId70"/>
                    <a:stretch>
                      <a:fillRect/>
                    </a:stretch>
                  </pic:blipFill>
                  <pic:spPr>
                    <a:xfrm>
                      <a:off x="0" y="0"/>
                      <a:ext cx="5267960" cy="7449820"/>
                    </a:xfrm>
                    <a:prstGeom prst="rect">
                      <a:avLst/>
                    </a:prstGeom>
                  </pic:spPr>
                </pic:pic>
              </a:graphicData>
            </a:graphic>
          </wp:inline>
        </w:drawing>
      </w:r>
      <w:r>
        <w:rPr>
          <w:rFonts w:hint="eastAsia"/>
          <w:lang w:eastAsia="zh-CN"/>
        </w:rPr>
        <w:drawing>
          <wp:inline distT="0" distB="0" distL="114300" distR="114300">
            <wp:extent cx="5267960" cy="7449820"/>
            <wp:effectExtent l="0" t="0" r="8890" b="17780"/>
            <wp:docPr id="47" name="图片 47" descr="航欧突发环境事件应急预案意见征求表2_页面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航欧突发环境事件应急预案意见征求表2_页面_1"/>
                    <pic:cNvPicPr>
                      <a:picLocks noChangeAspect="1"/>
                    </pic:cNvPicPr>
                  </pic:nvPicPr>
                  <pic:blipFill>
                    <a:blip r:embed="rId71"/>
                    <a:stretch>
                      <a:fillRect/>
                    </a:stretch>
                  </pic:blipFill>
                  <pic:spPr>
                    <a:xfrm>
                      <a:off x="0" y="0"/>
                      <a:ext cx="5267960" cy="7449820"/>
                    </a:xfrm>
                    <a:prstGeom prst="rect">
                      <a:avLst/>
                    </a:prstGeom>
                  </pic:spPr>
                </pic:pic>
              </a:graphicData>
            </a:graphic>
          </wp:inline>
        </w:drawing>
      </w:r>
      <w:r>
        <w:rPr>
          <w:rFonts w:hint="eastAsia"/>
          <w:lang w:eastAsia="zh-CN"/>
        </w:rPr>
        <w:drawing>
          <wp:inline distT="0" distB="0" distL="114300" distR="114300">
            <wp:extent cx="5267960" cy="7449820"/>
            <wp:effectExtent l="0" t="0" r="8890" b="17780"/>
            <wp:docPr id="48" name="图片 48" descr="航欧突发环境事件应急预案意见征求表2_页面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航欧突发环境事件应急预案意见征求表2_页面_2"/>
                    <pic:cNvPicPr>
                      <a:picLocks noChangeAspect="1"/>
                    </pic:cNvPicPr>
                  </pic:nvPicPr>
                  <pic:blipFill>
                    <a:blip r:embed="rId72"/>
                    <a:stretch>
                      <a:fillRect/>
                    </a:stretch>
                  </pic:blipFill>
                  <pic:spPr>
                    <a:xfrm>
                      <a:off x="0" y="0"/>
                      <a:ext cx="5267960" cy="7449820"/>
                    </a:xfrm>
                    <a:prstGeom prst="rect">
                      <a:avLst/>
                    </a:prstGeom>
                  </pic:spPr>
                </pic:pic>
              </a:graphicData>
            </a:graphic>
          </wp:inline>
        </w:drawing>
      </w:r>
      <w:r>
        <w:rPr>
          <w:rFonts w:hint="eastAsia"/>
          <w:lang w:eastAsia="zh-CN"/>
        </w:rPr>
        <w:drawing>
          <wp:inline distT="0" distB="0" distL="114300" distR="114300">
            <wp:extent cx="5267960" cy="7449820"/>
            <wp:effectExtent l="0" t="0" r="8890" b="17780"/>
            <wp:docPr id="49" name="图片 49" descr="航欧突发环境事件应急预案意见征求表2_页面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航欧突发环境事件应急预案意见征求表2_页面_3"/>
                    <pic:cNvPicPr>
                      <a:picLocks noChangeAspect="1"/>
                    </pic:cNvPicPr>
                  </pic:nvPicPr>
                  <pic:blipFill>
                    <a:blip r:embed="rId73"/>
                    <a:stretch>
                      <a:fillRect/>
                    </a:stretch>
                  </pic:blipFill>
                  <pic:spPr>
                    <a:xfrm>
                      <a:off x="0" y="0"/>
                      <a:ext cx="5267960" cy="7449820"/>
                    </a:xfrm>
                    <a:prstGeom prst="rect">
                      <a:avLst/>
                    </a:prstGeom>
                  </pic:spPr>
                </pic:pic>
              </a:graphicData>
            </a:graphic>
          </wp:inline>
        </w:drawing>
      </w:r>
      <w:r>
        <w:rPr>
          <w:rFonts w:hint="eastAsia"/>
          <w:lang w:eastAsia="zh-CN"/>
        </w:rPr>
        <w:drawing>
          <wp:inline distT="0" distB="0" distL="114300" distR="114300">
            <wp:extent cx="5267960" cy="7449820"/>
            <wp:effectExtent l="0" t="0" r="8890" b="17780"/>
            <wp:docPr id="50" name="图片 50" descr="航欧突发环境事件应急预案意见征求表2_页面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航欧突发环境事件应急预案意见征求表2_页面_4"/>
                    <pic:cNvPicPr>
                      <a:picLocks noChangeAspect="1"/>
                    </pic:cNvPicPr>
                  </pic:nvPicPr>
                  <pic:blipFill>
                    <a:blip r:embed="rId74"/>
                    <a:stretch>
                      <a:fillRect/>
                    </a:stretch>
                  </pic:blipFill>
                  <pic:spPr>
                    <a:xfrm>
                      <a:off x="0" y="0"/>
                      <a:ext cx="5267960" cy="7449820"/>
                    </a:xfrm>
                    <a:prstGeom prst="rect">
                      <a:avLst/>
                    </a:prstGeom>
                  </pic:spPr>
                </pic:pic>
              </a:graphicData>
            </a:graphic>
          </wp:inline>
        </w:drawing>
      </w:r>
    </w:p>
    <w:sectPr>
      <w:pgSz w:w="11906" w:h="16838"/>
      <w:pgMar w:top="1440" w:right="1800" w:bottom="1440" w:left="1800" w:header="1077" w:footer="1191"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2FF" w:usb1="400004FF" w:usb2="00000000" w:usb3="00000000" w:csb0="2000019F" w:csb1="00000000"/>
  </w:font>
  <w:font w:name="仿宋">
    <w:panose1 w:val="02010609060101010101"/>
    <w:charset w:val="86"/>
    <w:family w:val="modern"/>
    <w:pitch w:val="default"/>
    <w:sig w:usb0="800002BF" w:usb1="38CF7CFA" w:usb2="00000016" w:usb3="00000000" w:csb0="00040001" w:csb1="00000000"/>
  </w:font>
  <w:font w:name="等线 Light">
    <w:altName w:val="Segoe Print"/>
    <w:panose1 w:val="00000000000000000000"/>
    <w:charset w:val="00"/>
    <w:family w:val="auto"/>
    <w:pitch w:val="default"/>
    <w:sig w:usb0="00000000" w:usb1="00000000" w:usb2="00000000" w:usb3="00000000" w:csb0="00040001" w:csb1="00000000"/>
  </w:font>
  <w:font w:name="方正楷体简体">
    <w:altName w:val="宋体"/>
    <w:panose1 w:val="00000000000000000000"/>
    <w:charset w:val="86"/>
    <w:family w:val="script"/>
    <w:pitch w:val="default"/>
    <w:sig w:usb0="00000000" w:usb1="00000000" w:usb2="00000010" w:usb3="00000000" w:csb0="00040000" w:csb1="00000000"/>
  </w:font>
  <w:font w:name="Microsoft YaHei UI">
    <w:panose1 w:val="020B0503020204020204"/>
    <w:charset w:val="86"/>
    <w:family w:val="swiss"/>
    <w:pitch w:val="default"/>
    <w:sig w:usb0="80000287" w:usb1="28CF3C52" w:usb2="00000016" w:usb3="00000000" w:csb0="0004001F" w:csb1="00000000"/>
  </w:font>
  <w:font w:name="等线">
    <w:altName w:val="Arial Unicode MS"/>
    <w:panose1 w:val="00000000000000000000"/>
    <w:charset w:val="00"/>
    <w:family w:val="auto"/>
    <w:pitch w:val="default"/>
    <w:sig w:usb0="00000000" w:usb1="00000000" w:usb2="00000000" w:usb3="00000000" w:csb0="00040001" w:csb1="00000000"/>
  </w:font>
  <w:font w:name="华文中宋">
    <w:panose1 w:val="02010600040101010101"/>
    <w:charset w:val="86"/>
    <w:family w:val="auto"/>
    <w:pitch w:val="default"/>
    <w:sig w:usb0="00000287" w:usb1="080F0000" w:usb2="00000000" w:usb3="00000000" w:csb0="0004009F" w:csb1="DFD70000"/>
  </w:font>
  <w:font w:name="Arial Unicode MS">
    <w:panose1 w:val="020B0604020202020204"/>
    <w:charset w:val="86"/>
    <w:family w:val="swiss"/>
    <w:pitch w:val="default"/>
    <w:sig w:usb0="FFFFFFFF" w:usb1="E9FFFFFF" w:usb2="0000003F" w:usb3="00000000" w:csb0="603F01FF" w:csb1="FFFF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Bdr>
        <w:top w:val="single" w:color="auto" w:sz="6" w:space="1"/>
      </w:pBdr>
      <w:jc w:val="center"/>
    </w:pPr>
    <w:r>
      <w:fldChar w:fldCharType="begin"/>
    </w:r>
    <w:r>
      <w:instrText xml:space="preserve"> PAGE   \* MERGEFORMAT </w:instrText>
    </w:r>
    <w:r>
      <w:fldChar w:fldCharType="separate"/>
    </w:r>
    <w:r>
      <w:rPr>
        <w:lang w:val="zh-CN"/>
      </w:rPr>
      <w:t>3</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Bdr>
        <w:top w:val="single" w:color="auto" w:sz="6" w:space="1"/>
      </w:pBdr>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7785" cy="153670"/>
              <wp:effectExtent l="0" t="0" r="0" b="0"/>
              <wp:wrapNone/>
              <wp:docPr id="34" name="文本框 1025"/>
              <wp:cNvGraphicFramePr/>
              <a:graphic xmlns:a="http://schemas.openxmlformats.org/drawingml/2006/main">
                <a:graphicData uri="http://schemas.microsoft.com/office/word/2010/wordprocessingShape">
                  <wps:wsp>
                    <wps:cNvSpPr txBox="1"/>
                    <wps:spPr>
                      <a:xfrm>
                        <a:off x="0" y="0"/>
                        <a:ext cx="57785" cy="153670"/>
                      </a:xfrm>
                      <a:prstGeom prst="rect">
                        <a:avLst/>
                      </a:prstGeom>
                      <a:noFill/>
                      <a:ln>
                        <a:noFill/>
                      </a:ln>
                      <a:effectLst/>
                    </wps:spPr>
                    <wps:txbx>
                      <w:txbxContent>
                        <w:p>
                          <w:pPr>
                            <w:pStyle w:val="25"/>
                            <w:pBdr>
                              <w:top w:val="single" w:color="auto" w:sz="6" w:space="1"/>
                            </w:pBdr>
                            <w:jc w:val="center"/>
                          </w:pPr>
                          <w:r>
                            <w:fldChar w:fldCharType="begin"/>
                          </w:r>
                          <w:r>
                            <w:instrText xml:space="preserve"> PAGE   \* MERGEFORMAT </w:instrText>
                          </w:r>
                          <w:r>
                            <w:fldChar w:fldCharType="separate"/>
                          </w:r>
                          <w:r>
                            <w:rPr>
                              <w:lang w:val="zh-CN"/>
                            </w:rPr>
                            <w:t>2</w:t>
                          </w:r>
                          <w:r>
                            <w:fldChar w:fldCharType="end"/>
                          </w:r>
                        </w:p>
                      </w:txbxContent>
                    </wps:txbx>
                    <wps:bodyPr wrap="none" lIns="0" tIns="0" rIns="0" bIns="0" upright="0">
                      <a:spAutoFit/>
                    </wps:bodyPr>
                  </wps:wsp>
                </a:graphicData>
              </a:graphic>
            </wp:anchor>
          </w:drawing>
        </mc:Choice>
        <mc:Fallback>
          <w:pict>
            <v:shape id="文本框 1025" o:spid="_x0000_s1026" o:spt="202" type="#_x0000_t202" style="position:absolute;left:0pt;margin-top:0pt;height:12.1pt;width:4.55pt;mso-position-horizontal:center;mso-position-horizontal-relative:margin;mso-wrap-style:none;z-index:251659264;mso-width-relative:page;mso-height-relative:page;" filled="f" stroked="f" coordsize="21600,21600" o:gfxdata="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CztujTQAAAAAgEAAA8AAAAAAAAAAQAgAAAAIgAA&#10;AGRycy9kb3ducmV2LnhtbFBLAQIUABQAAAAIAIdO4kD6n0Ik1wEAAKgDAAAOAAAAAAAAAAEAIAAA&#10;AB8BAABkcnMvZTJvRG9jLnhtbFBLBQYAAAAABgAGAFkBAABoBQAAAAA=&#10;">
              <v:fill on="f" focussize="0,0"/>
              <v:stroke on="f"/>
              <v:imagedata o:title=""/>
              <o:lock v:ext="edit" aspectratio="f"/>
              <v:textbox inset="0mm,0mm,0mm,0mm" style="mso-fit-shape-to-text:t;">
                <w:txbxContent>
                  <w:p>
                    <w:pPr>
                      <w:pStyle w:val="25"/>
                      <w:pBdr>
                        <w:top w:val="single" w:color="auto" w:sz="6" w:space="1"/>
                      </w:pBdr>
                      <w:jc w:val="center"/>
                    </w:pPr>
                    <w:r>
                      <w:fldChar w:fldCharType="begin"/>
                    </w:r>
                    <w:r>
                      <w:instrText xml:space="preserve"> PAGE   \* MERGEFORMAT </w:instrText>
                    </w:r>
                    <w:r>
                      <w:fldChar w:fldCharType="separate"/>
                    </w:r>
                    <w:r>
                      <w:rPr>
                        <w:lang w:val="zh-CN"/>
                      </w:rP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8" w:space="1"/>
      </w:pBdr>
      <w:spacing w:line="276" w:lineRule="auto"/>
      <w:jc w:val="center"/>
      <w:rPr>
        <w:sz w:val="20"/>
      </w:rPr>
    </w:pPr>
    <w:r>
      <w:rPr>
        <w:rFonts w:hint="eastAsia" w:ascii="宋体" w:hAnsi="宋体"/>
        <w:b/>
      </w:rPr>
      <w:t>湖北航欧新材料科技有限公司突发环境事件应急预案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9F08FC9"/>
    <w:multiLevelType w:val="singleLevel"/>
    <w:tmpl w:val="29F08FC9"/>
    <w:lvl w:ilvl="0" w:tentative="0">
      <w:start w:val="1"/>
      <w:numFmt w:val="decimal"/>
      <w:suff w:val="nothing"/>
      <w:lvlText w:val="（%1）"/>
      <w:lvlJc w:val="left"/>
    </w:lvl>
  </w:abstractNum>
  <w:abstractNum w:abstractNumId="1">
    <w:nsid w:val="330216EB"/>
    <w:multiLevelType w:val="multilevel"/>
    <w:tmpl w:val="330216EB"/>
    <w:lvl w:ilvl="0" w:tentative="0">
      <w:start w:val="1"/>
      <w:numFmt w:val="decimal"/>
      <w:pStyle w:val="5"/>
      <w:lvlText w:val="%1"/>
      <w:lvlJc w:val="left"/>
      <w:pPr>
        <w:tabs>
          <w:tab w:val="left" w:pos="425"/>
        </w:tabs>
        <w:ind w:left="425" w:hanging="425"/>
      </w:pPr>
      <w:rPr>
        <w:rFonts w:hint="eastAsia"/>
      </w:rPr>
    </w:lvl>
    <w:lvl w:ilvl="1" w:tentative="0">
      <w:start w:val="1"/>
      <w:numFmt w:val="decimal"/>
      <w:pStyle w:val="6"/>
      <w:lvlText w:val="%1.%2"/>
      <w:lvlJc w:val="left"/>
      <w:pPr>
        <w:tabs>
          <w:tab w:val="left" w:pos="567"/>
        </w:tabs>
        <w:ind w:left="567" w:hanging="567"/>
      </w:pPr>
      <w:rPr>
        <w:rFonts w:hint="eastAsia"/>
      </w:rPr>
    </w:lvl>
    <w:lvl w:ilvl="2" w:tentative="0">
      <w:start w:val="1"/>
      <w:numFmt w:val="decimal"/>
      <w:pStyle w:val="8"/>
      <w:lvlText w:val="%1.%2.%3"/>
      <w:lvlJc w:val="left"/>
      <w:pPr>
        <w:tabs>
          <w:tab w:val="left" w:pos="709"/>
        </w:tabs>
        <w:ind w:left="709" w:hanging="709"/>
      </w:pPr>
      <w:rPr>
        <w:rFonts w:hint="eastAsia"/>
      </w:rPr>
    </w:lvl>
    <w:lvl w:ilvl="3" w:tentative="0">
      <w:start w:val="1"/>
      <w:numFmt w:val="decimal"/>
      <w:pStyle w:val="9"/>
      <w:lvlText w:val="%1.%2.%3.%4"/>
      <w:lvlJc w:val="left"/>
      <w:pPr>
        <w:tabs>
          <w:tab w:val="left" w:pos="850"/>
        </w:tabs>
        <w:ind w:left="850" w:hanging="850"/>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7"/>
        </w:tabs>
        <w:ind w:left="1417" w:hanging="1417"/>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2">
    <w:nsid w:val="35177585"/>
    <w:multiLevelType w:val="multilevel"/>
    <w:tmpl w:val="35177585"/>
    <w:lvl w:ilvl="0" w:tentative="0">
      <w:start w:val="1"/>
      <w:numFmt w:val="decimal"/>
      <w:pStyle w:val="76"/>
      <w:suff w:val="nothing"/>
      <w:lvlText w:val="附图%1："/>
      <w:lvlJc w:val="left"/>
      <w:pPr>
        <w:ind w:left="420" w:hanging="420"/>
      </w:pPr>
      <w:rPr>
        <w:rFonts w:hint="default" w:ascii="Times New Roman" w:hAnsi="Times New Roman" w:eastAsia="方正楷体简体"/>
        <w:b w:val="0"/>
        <w:i w:val="0"/>
        <w:color w:val="auto"/>
        <w:sz w:val="24"/>
        <w:szCs w:val="24"/>
        <w:u w:val="none"/>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398904DE"/>
    <w:multiLevelType w:val="multilevel"/>
    <w:tmpl w:val="398904DE"/>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4618B02D"/>
    <w:multiLevelType w:val="singleLevel"/>
    <w:tmpl w:val="4618B02D"/>
    <w:lvl w:ilvl="0" w:tentative="0">
      <w:start w:val="1"/>
      <w:numFmt w:val="decimal"/>
      <w:suff w:val="space"/>
      <w:lvlText w:val="（%1）"/>
      <w:lvlJc w:val="left"/>
    </w:lvl>
  </w:abstractNum>
  <w:abstractNum w:abstractNumId="5">
    <w:nsid w:val="5667E21B"/>
    <w:multiLevelType w:val="singleLevel"/>
    <w:tmpl w:val="5667E21B"/>
    <w:lvl w:ilvl="0" w:tentative="0">
      <w:start w:val="1"/>
      <w:numFmt w:val="decimal"/>
      <w:suff w:val="nothing"/>
      <w:lvlText w:val="（%1）"/>
      <w:lvlJc w:val="left"/>
    </w:lvl>
  </w:abstractNum>
  <w:abstractNum w:abstractNumId="6">
    <w:nsid w:val="5A151934"/>
    <w:multiLevelType w:val="multilevel"/>
    <w:tmpl w:val="5A151934"/>
    <w:lvl w:ilvl="0" w:tentative="0">
      <w:start w:val="1"/>
      <w:numFmt w:val="decimal"/>
      <w:pStyle w:val="74"/>
      <w:suff w:val="nothing"/>
      <w:lvlText w:val="%1、"/>
      <w:lvlJc w:val="left"/>
      <w:pPr>
        <w:ind w:left="0" w:firstLine="0"/>
      </w:pPr>
      <w:rPr>
        <w:rFonts w:hint="eastAsia" w:eastAsia="黑体"/>
      </w:rPr>
    </w:lvl>
    <w:lvl w:ilvl="1" w:tentative="0">
      <w:start w:val="1"/>
      <w:numFmt w:val="decimal"/>
      <w:pStyle w:val="64"/>
      <w:suff w:val="nothing"/>
      <w:lvlText w:val="%1.%2 "/>
      <w:lvlJc w:val="left"/>
      <w:pPr>
        <w:ind w:left="0" w:firstLine="0"/>
      </w:pPr>
      <w:rPr>
        <w:rFonts w:hint="eastAsia"/>
        <w:i w:val="0"/>
        <w:iCs w:val="0"/>
        <w:caps w:val="0"/>
        <w:smallCaps w:val="0"/>
        <w:strike w:val="0"/>
        <w:dstrike w:val="0"/>
        <w:outline w:val="0"/>
        <w:shadow w:val="0"/>
        <w:emboss w:val="0"/>
        <w:imprint w:val="0"/>
        <w:vanish w:val="0"/>
        <w:spacing w:val="0"/>
        <w:position w:val="0"/>
        <w:u w:val="none"/>
        <w:vertAlign w:val="baseline"/>
      </w:rPr>
    </w:lvl>
    <w:lvl w:ilvl="2" w:tentative="0">
      <w:start w:val="1"/>
      <w:numFmt w:val="decimal"/>
      <w:pStyle w:val="71"/>
      <w:suff w:val="nothing"/>
      <w:lvlText w:val="%1.%2.%3 "/>
      <w:lvlJc w:val="left"/>
      <w:pPr>
        <w:ind w:left="1985" w:firstLine="0"/>
      </w:pPr>
      <w:rPr>
        <w:rFonts w:hint="eastAsia"/>
      </w:rPr>
    </w:lvl>
    <w:lvl w:ilvl="3" w:tentative="0">
      <w:start w:val="1"/>
      <w:numFmt w:val="decimal"/>
      <w:lvlText w:val="%1.%2.%3.%4."/>
      <w:lvlJc w:val="left"/>
      <w:pPr>
        <w:ind w:left="851" w:hanging="851"/>
      </w:pPr>
      <w:rPr>
        <w:rFonts w:hint="eastAsia"/>
      </w:rPr>
    </w:lvl>
    <w:lvl w:ilvl="4" w:tentative="0">
      <w:start w:val="1"/>
      <w:numFmt w:val="decimal"/>
      <w:lvlText w:val="%1.%2.%3.%4.%5."/>
      <w:lvlJc w:val="left"/>
      <w:pPr>
        <w:ind w:left="992" w:hanging="992"/>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7">
    <w:nsid w:val="79D359D5"/>
    <w:multiLevelType w:val="multilevel"/>
    <w:tmpl w:val="79D359D5"/>
    <w:lvl w:ilvl="0" w:tentative="0">
      <w:start w:val="1"/>
      <w:numFmt w:val="decimal"/>
      <w:pStyle w:val="78"/>
      <w:suff w:val="nothing"/>
      <w:lvlText w:val="附件%1："/>
      <w:lvlJc w:val="left"/>
      <w:pPr>
        <w:ind w:left="839" w:hanging="839"/>
      </w:pPr>
      <w:rPr>
        <w:rFonts w:hint="default" w:ascii="Times New Roman" w:hAnsi="Times New Roman" w:eastAsia="方正楷体简体"/>
        <w:b w:val="0"/>
        <w:i w:val="0"/>
        <w:color w:val="auto"/>
        <w:sz w:val="24"/>
        <w:szCs w:val="24"/>
        <w:u w:val="none"/>
        <w:lang w:val="en-U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6"/>
  </w:num>
  <w:num w:numId="3">
    <w:abstractNumId w:val="2"/>
  </w:num>
  <w:num w:numId="4">
    <w:abstractNumId w:val="7"/>
  </w:num>
  <w:num w:numId="5">
    <w:abstractNumId w:val="4"/>
  </w:num>
  <w:num w:numId="6">
    <w:abstractNumId w:val="5"/>
  </w:num>
  <w:num w:numId="7">
    <w:abstractNumId w:val="0"/>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doNotTrackMoves/>
  <w:documentProtection w:edit="readOnly" w:enforcement="0"/>
  <w:defaultTabStop w:val="420"/>
  <w:noPunctuationKerning w:val="1"/>
  <w:characterSpacingControl w:val="doNotCompress"/>
  <w:hdrShapeDefaults>
    <o:shapelayout v:ext="edit">
      <o:idmap v:ext="edit" data="1"/>
    </o:shapelayout>
  </w:hdrShapeDefaults>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VlZWEzMTBiMTI1YmJlMzhhODQ5YTY4MzE1ZGI2YTUifQ=="/>
  </w:docVars>
  <w:rsids>
    <w:rsidRoot w:val="00172A27"/>
    <w:rsid w:val="00007CEF"/>
    <w:rsid w:val="00007E4A"/>
    <w:rsid w:val="00010ED6"/>
    <w:rsid w:val="00013122"/>
    <w:rsid w:val="00013937"/>
    <w:rsid w:val="000150B5"/>
    <w:rsid w:val="00017A45"/>
    <w:rsid w:val="00020665"/>
    <w:rsid w:val="000223C7"/>
    <w:rsid w:val="00026349"/>
    <w:rsid w:val="00031E13"/>
    <w:rsid w:val="000330B0"/>
    <w:rsid w:val="000342D6"/>
    <w:rsid w:val="000357E8"/>
    <w:rsid w:val="000359BE"/>
    <w:rsid w:val="000362F5"/>
    <w:rsid w:val="00041F98"/>
    <w:rsid w:val="000461B4"/>
    <w:rsid w:val="00056E27"/>
    <w:rsid w:val="000617C2"/>
    <w:rsid w:val="00061DD1"/>
    <w:rsid w:val="000624C4"/>
    <w:rsid w:val="000662BA"/>
    <w:rsid w:val="0006666E"/>
    <w:rsid w:val="000713BB"/>
    <w:rsid w:val="00073FA6"/>
    <w:rsid w:val="00074D7C"/>
    <w:rsid w:val="000754A1"/>
    <w:rsid w:val="00082A60"/>
    <w:rsid w:val="000841AC"/>
    <w:rsid w:val="00084E26"/>
    <w:rsid w:val="000914E1"/>
    <w:rsid w:val="00092514"/>
    <w:rsid w:val="000935BD"/>
    <w:rsid w:val="000A06D6"/>
    <w:rsid w:val="000B372B"/>
    <w:rsid w:val="000B4318"/>
    <w:rsid w:val="000C7A63"/>
    <w:rsid w:val="000D3112"/>
    <w:rsid w:val="000E2592"/>
    <w:rsid w:val="000E343D"/>
    <w:rsid w:val="000E7876"/>
    <w:rsid w:val="000F340D"/>
    <w:rsid w:val="000F60C8"/>
    <w:rsid w:val="0010201A"/>
    <w:rsid w:val="001032B0"/>
    <w:rsid w:val="00104451"/>
    <w:rsid w:val="00105AE2"/>
    <w:rsid w:val="00106CA2"/>
    <w:rsid w:val="001114F2"/>
    <w:rsid w:val="001179D5"/>
    <w:rsid w:val="00120EF5"/>
    <w:rsid w:val="00120FEC"/>
    <w:rsid w:val="00122757"/>
    <w:rsid w:val="00124097"/>
    <w:rsid w:val="001257D7"/>
    <w:rsid w:val="00126679"/>
    <w:rsid w:val="00131DB6"/>
    <w:rsid w:val="001362EC"/>
    <w:rsid w:val="0013715F"/>
    <w:rsid w:val="00140966"/>
    <w:rsid w:val="00140A59"/>
    <w:rsid w:val="00147AF6"/>
    <w:rsid w:val="00153937"/>
    <w:rsid w:val="00156B03"/>
    <w:rsid w:val="00160B31"/>
    <w:rsid w:val="001631F0"/>
    <w:rsid w:val="00163AA7"/>
    <w:rsid w:val="0016512C"/>
    <w:rsid w:val="00166FAD"/>
    <w:rsid w:val="00166FD4"/>
    <w:rsid w:val="00167321"/>
    <w:rsid w:val="00170305"/>
    <w:rsid w:val="00172A27"/>
    <w:rsid w:val="0017684C"/>
    <w:rsid w:val="0017758A"/>
    <w:rsid w:val="00183DAA"/>
    <w:rsid w:val="00184B7E"/>
    <w:rsid w:val="001851AD"/>
    <w:rsid w:val="001857DC"/>
    <w:rsid w:val="001875AD"/>
    <w:rsid w:val="00190C54"/>
    <w:rsid w:val="001916B5"/>
    <w:rsid w:val="001954C3"/>
    <w:rsid w:val="001B2775"/>
    <w:rsid w:val="001B481E"/>
    <w:rsid w:val="001C4E45"/>
    <w:rsid w:val="001C5ACE"/>
    <w:rsid w:val="001D3C10"/>
    <w:rsid w:val="001D64F9"/>
    <w:rsid w:val="001D6DDA"/>
    <w:rsid w:val="001D7B9C"/>
    <w:rsid w:val="001E593B"/>
    <w:rsid w:val="001E6B71"/>
    <w:rsid w:val="001F2A01"/>
    <w:rsid w:val="001F7803"/>
    <w:rsid w:val="001F7BE5"/>
    <w:rsid w:val="00200895"/>
    <w:rsid w:val="00205063"/>
    <w:rsid w:val="00212C58"/>
    <w:rsid w:val="0021370E"/>
    <w:rsid w:val="00214197"/>
    <w:rsid w:val="00220C1D"/>
    <w:rsid w:val="00222B04"/>
    <w:rsid w:val="0022371C"/>
    <w:rsid w:val="0022586F"/>
    <w:rsid w:val="00225B5C"/>
    <w:rsid w:val="002307F4"/>
    <w:rsid w:val="00241511"/>
    <w:rsid w:val="0024594B"/>
    <w:rsid w:val="00246063"/>
    <w:rsid w:val="00247967"/>
    <w:rsid w:val="002550E1"/>
    <w:rsid w:val="002572DB"/>
    <w:rsid w:val="0025751B"/>
    <w:rsid w:val="0026379D"/>
    <w:rsid w:val="00265A94"/>
    <w:rsid w:val="00265F5F"/>
    <w:rsid w:val="00270A87"/>
    <w:rsid w:val="00273179"/>
    <w:rsid w:val="002744C7"/>
    <w:rsid w:val="00275F4F"/>
    <w:rsid w:val="002864FD"/>
    <w:rsid w:val="00291CED"/>
    <w:rsid w:val="00293F6D"/>
    <w:rsid w:val="002A2FF7"/>
    <w:rsid w:val="002A679B"/>
    <w:rsid w:val="002A69EB"/>
    <w:rsid w:val="002B27A7"/>
    <w:rsid w:val="002B7330"/>
    <w:rsid w:val="002C11E7"/>
    <w:rsid w:val="002C1D10"/>
    <w:rsid w:val="002C71D5"/>
    <w:rsid w:val="002D08C6"/>
    <w:rsid w:val="002D42FA"/>
    <w:rsid w:val="002E173A"/>
    <w:rsid w:val="002F151D"/>
    <w:rsid w:val="002F291B"/>
    <w:rsid w:val="002F52D8"/>
    <w:rsid w:val="002F5A23"/>
    <w:rsid w:val="003047FD"/>
    <w:rsid w:val="00305841"/>
    <w:rsid w:val="00316654"/>
    <w:rsid w:val="003174DE"/>
    <w:rsid w:val="00317ED6"/>
    <w:rsid w:val="003202AB"/>
    <w:rsid w:val="00323221"/>
    <w:rsid w:val="0032603C"/>
    <w:rsid w:val="00327346"/>
    <w:rsid w:val="00335217"/>
    <w:rsid w:val="00335FC6"/>
    <w:rsid w:val="003430ED"/>
    <w:rsid w:val="003454F3"/>
    <w:rsid w:val="00352CF2"/>
    <w:rsid w:val="00353078"/>
    <w:rsid w:val="003538BE"/>
    <w:rsid w:val="00353E6C"/>
    <w:rsid w:val="003544D3"/>
    <w:rsid w:val="00354EF7"/>
    <w:rsid w:val="003645F6"/>
    <w:rsid w:val="00367B70"/>
    <w:rsid w:val="0037272D"/>
    <w:rsid w:val="00373EC4"/>
    <w:rsid w:val="003759F0"/>
    <w:rsid w:val="00375FCD"/>
    <w:rsid w:val="00380594"/>
    <w:rsid w:val="00380DC8"/>
    <w:rsid w:val="00381B7C"/>
    <w:rsid w:val="00381C35"/>
    <w:rsid w:val="003A0837"/>
    <w:rsid w:val="003A1F45"/>
    <w:rsid w:val="003A3C79"/>
    <w:rsid w:val="003A5E64"/>
    <w:rsid w:val="003B4AEE"/>
    <w:rsid w:val="003B4C50"/>
    <w:rsid w:val="003C54D6"/>
    <w:rsid w:val="003C5CA5"/>
    <w:rsid w:val="003D1638"/>
    <w:rsid w:val="003E26F0"/>
    <w:rsid w:val="003E3F7A"/>
    <w:rsid w:val="003E48A6"/>
    <w:rsid w:val="003E5694"/>
    <w:rsid w:val="00401D4C"/>
    <w:rsid w:val="00402917"/>
    <w:rsid w:val="00402F09"/>
    <w:rsid w:val="00404E50"/>
    <w:rsid w:val="004056BA"/>
    <w:rsid w:val="00407EB7"/>
    <w:rsid w:val="00411197"/>
    <w:rsid w:val="00413858"/>
    <w:rsid w:val="004171D6"/>
    <w:rsid w:val="00423CE3"/>
    <w:rsid w:val="0042452F"/>
    <w:rsid w:val="00426485"/>
    <w:rsid w:val="0043200C"/>
    <w:rsid w:val="004325C9"/>
    <w:rsid w:val="00432826"/>
    <w:rsid w:val="00432B52"/>
    <w:rsid w:val="00433D64"/>
    <w:rsid w:val="00433FAE"/>
    <w:rsid w:val="00436531"/>
    <w:rsid w:val="00437925"/>
    <w:rsid w:val="0044009E"/>
    <w:rsid w:val="00445E45"/>
    <w:rsid w:val="00447CB8"/>
    <w:rsid w:val="00451CEF"/>
    <w:rsid w:val="004528A0"/>
    <w:rsid w:val="004538F4"/>
    <w:rsid w:val="004542FC"/>
    <w:rsid w:val="00457AB2"/>
    <w:rsid w:val="00471250"/>
    <w:rsid w:val="004823EC"/>
    <w:rsid w:val="004845CC"/>
    <w:rsid w:val="004868D5"/>
    <w:rsid w:val="0048788F"/>
    <w:rsid w:val="00490D3F"/>
    <w:rsid w:val="004921B0"/>
    <w:rsid w:val="00492BB6"/>
    <w:rsid w:val="0049520B"/>
    <w:rsid w:val="00497CAA"/>
    <w:rsid w:val="004A73D8"/>
    <w:rsid w:val="004B4C1D"/>
    <w:rsid w:val="004B4F97"/>
    <w:rsid w:val="004B638E"/>
    <w:rsid w:val="004B7A4A"/>
    <w:rsid w:val="004C0F25"/>
    <w:rsid w:val="004C3B5A"/>
    <w:rsid w:val="004D3084"/>
    <w:rsid w:val="004E01B9"/>
    <w:rsid w:val="004E6EAC"/>
    <w:rsid w:val="004E7E87"/>
    <w:rsid w:val="004F000F"/>
    <w:rsid w:val="004F091E"/>
    <w:rsid w:val="004F0CA0"/>
    <w:rsid w:val="004F5546"/>
    <w:rsid w:val="004F5766"/>
    <w:rsid w:val="004F5B4F"/>
    <w:rsid w:val="004F5B92"/>
    <w:rsid w:val="00500945"/>
    <w:rsid w:val="005025BE"/>
    <w:rsid w:val="00503EF8"/>
    <w:rsid w:val="00505B16"/>
    <w:rsid w:val="00507F64"/>
    <w:rsid w:val="00511C88"/>
    <w:rsid w:val="00512C0B"/>
    <w:rsid w:val="00516555"/>
    <w:rsid w:val="0051656E"/>
    <w:rsid w:val="00520433"/>
    <w:rsid w:val="005219B3"/>
    <w:rsid w:val="00522B2F"/>
    <w:rsid w:val="00524E19"/>
    <w:rsid w:val="0052505D"/>
    <w:rsid w:val="0052723D"/>
    <w:rsid w:val="00531907"/>
    <w:rsid w:val="00531DCF"/>
    <w:rsid w:val="00532626"/>
    <w:rsid w:val="00533C11"/>
    <w:rsid w:val="00533EE0"/>
    <w:rsid w:val="00537E5D"/>
    <w:rsid w:val="005402B2"/>
    <w:rsid w:val="005429C1"/>
    <w:rsid w:val="00542E74"/>
    <w:rsid w:val="00543C29"/>
    <w:rsid w:val="005450A5"/>
    <w:rsid w:val="00547115"/>
    <w:rsid w:val="00554C36"/>
    <w:rsid w:val="00554E74"/>
    <w:rsid w:val="005626D4"/>
    <w:rsid w:val="00567CEA"/>
    <w:rsid w:val="00570740"/>
    <w:rsid w:val="00570F73"/>
    <w:rsid w:val="0057489C"/>
    <w:rsid w:val="00576B21"/>
    <w:rsid w:val="00581EBB"/>
    <w:rsid w:val="00584EDB"/>
    <w:rsid w:val="00587745"/>
    <w:rsid w:val="00591E2B"/>
    <w:rsid w:val="00595B44"/>
    <w:rsid w:val="00596A91"/>
    <w:rsid w:val="005A1C3E"/>
    <w:rsid w:val="005A241B"/>
    <w:rsid w:val="005A49FC"/>
    <w:rsid w:val="005A7E69"/>
    <w:rsid w:val="005B524D"/>
    <w:rsid w:val="005C0DC1"/>
    <w:rsid w:val="005C30BF"/>
    <w:rsid w:val="005C7525"/>
    <w:rsid w:val="005D0574"/>
    <w:rsid w:val="005D09B7"/>
    <w:rsid w:val="005D38A5"/>
    <w:rsid w:val="005F70B5"/>
    <w:rsid w:val="00600678"/>
    <w:rsid w:val="0060384B"/>
    <w:rsid w:val="00604AC7"/>
    <w:rsid w:val="00605C47"/>
    <w:rsid w:val="006108B3"/>
    <w:rsid w:val="00610BE5"/>
    <w:rsid w:val="00613164"/>
    <w:rsid w:val="00613B6E"/>
    <w:rsid w:val="00614ACF"/>
    <w:rsid w:val="00616810"/>
    <w:rsid w:val="00620A5C"/>
    <w:rsid w:val="006217F9"/>
    <w:rsid w:val="0063540B"/>
    <w:rsid w:val="006422F9"/>
    <w:rsid w:val="00645D9A"/>
    <w:rsid w:val="0064734C"/>
    <w:rsid w:val="006569E8"/>
    <w:rsid w:val="00661515"/>
    <w:rsid w:val="00666EF7"/>
    <w:rsid w:val="0067040F"/>
    <w:rsid w:val="00670A99"/>
    <w:rsid w:val="0067139F"/>
    <w:rsid w:val="00686564"/>
    <w:rsid w:val="0068683C"/>
    <w:rsid w:val="006905B6"/>
    <w:rsid w:val="006934B8"/>
    <w:rsid w:val="00693E25"/>
    <w:rsid w:val="00694082"/>
    <w:rsid w:val="00694D5D"/>
    <w:rsid w:val="006952E2"/>
    <w:rsid w:val="006A67FB"/>
    <w:rsid w:val="006B081B"/>
    <w:rsid w:val="006C5A36"/>
    <w:rsid w:val="006C6B56"/>
    <w:rsid w:val="006D0398"/>
    <w:rsid w:val="006D3621"/>
    <w:rsid w:val="006D4176"/>
    <w:rsid w:val="006E4A9B"/>
    <w:rsid w:val="006E53D7"/>
    <w:rsid w:val="006E7228"/>
    <w:rsid w:val="006F110C"/>
    <w:rsid w:val="006F2453"/>
    <w:rsid w:val="006F452B"/>
    <w:rsid w:val="00702231"/>
    <w:rsid w:val="00702AD8"/>
    <w:rsid w:val="007052DB"/>
    <w:rsid w:val="007066AB"/>
    <w:rsid w:val="007101B3"/>
    <w:rsid w:val="007130DA"/>
    <w:rsid w:val="0071776A"/>
    <w:rsid w:val="0072571A"/>
    <w:rsid w:val="00727BE3"/>
    <w:rsid w:val="007338FF"/>
    <w:rsid w:val="00734315"/>
    <w:rsid w:val="007353E8"/>
    <w:rsid w:val="0075411D"/>
    <w:rsid w:val="00771921"/>
    <w:rsid w:val="00772A9B"/>
    <w:rsid w:val="00772BC6"/>
    <w:rsid w:val="007868EA"/>
    <w:rsid w:val="00793573"/>
    <w:rsid w:val="007B7781"/>
    <w:rsid w:val="007C180C"/>
    <w:rsid w:val="007C792D"/>
    <w:rsid w:val="007D3210"/>
    <w:rsid w:val="007D36C0"/>
    <w:rsid w:val="007D5099"/>
    <w:rsid w:val="007E4BA6"/>
    <w:rsid w:val="007E6433"/>
    <w:rsid w:val="007F0869"/>
    <w:rsid w:val="007F24E0"/>
    <w:rsid w:val="007F31B7"/>
    <w:rsid w:val="007F39F5"/>
    <w:rsid w:val="007F41F7"/>
    <w:rsid w:val="007F444E"/>
    <w:rsid w:val="0080451B"/>
    <w:rsid w:val="008067BE"/>
    <w:rsid w:val="00806D91"/>
    <w:rsid w:val="00814114"/>
    <w:rsid w:val="00815631"/>
    <w:rsid w:val="00816A8B"/>
    <w:rsid w:val="00817896"/>
    <w:rsid w:val="0082002B"/>
    <w:rsid w:val="00820F90"/>
    <w:rsid w:val="008223BB"/>
    <w:rsid w:val="0082310A"/>
    <w:rsid w:val="00825193"/>
    <w:rsid w:val="00832FCA"/>
    <w:rsid w:val="0083422A"/>
    <w:rsid w:val="00836B65"/>
    <w:rsid w:val="008432BB"/>
    <w:rsid w:val="00845BE4"/>
    <w:rsid w:val="00851A7E"/>
    <w:rsid w:val="00853F1D"/>
    <w:rsid w:val="00855890"/>
    <w:rsid w:val="00856C64"/>
    <w:rsid w:val="00860023"/>
    <w:rsid w:val="00860238"/>
    <w:rsid w:val="00860E35"/>
    <w:rsid w:val="008650B7"/>
    <w:rsid w:val="0086760A"/>
    <w:rsid w:val="008715D4"/>
    <w:rsid w:val="008742C5"/>
    <w:rsid w:val="00874A6F"/>
    <w:rsid w:val="008761DC"/>
    <w:rsid w:val="00883AD1"/>
    <w:rsid w:val="00890525"/>
    <w:rsid w:val="0089181E"/>
    <w:rsid w:val="00895027"/>
    <w:rsid w:val="00897298"/>
    <w:rsid w:val="008A441A"/>
    <w:rsid w:val="008A59CD"/>
    <w:rsid w:val="008B0392"/>
    <w:rsid w:val="008C225C"/>
    <w:rsid w:val="008C3802"/>
    <w:rsid w:val="008D1D77"/>
    <w:rsid w:val="008D3B75"/>
    <w:rsid w:val="008D5F34"/>
    <w:rsid w:val="008D7C43"/>
    <w:rsid w:val="008F2B3B"/>
    <w:rsid w:val="008F2D7F"/>
    <w:rsid w:val="008F4C58"/>
    <w:rsid w:val="008F6039"/>
    <w:rsid w:val="00902E60"/>
    <w:rsid w:val="00904BAD"/>
    <w:rsid w:val="009054E5"/>
    <w:rsid w:val="00906C5B"/>
    <w:rsid w:val="00910822"/>
    <w:rsid w:val="00914C39"/>
    <w:rsid w:val="009170B3"/>
    <w:rsid w:val="00921102"/>
    <w:rsid w:val="00925951"/>
    <w:rsid w:val="009261BE"/>
    <w:rsid w:val="0093101B"/>
    <w:rsid w:val="0093257A"/>
    <w:rsid w:val="00937E26"/>
    <w:rsid w:val="00940E95"/>
    <w:rsid w:val="00942AA9"/>
    <w:rsid w:val="00945194"/>
    <w:rsid w:val="00946B36"/>
    <w:rsid w:val="00953356"/>
    <w:rsid w:val="009542A7"/>
    <w:rsid w:val="009551CB"/>
    <w:rsid w:val="0095566B"/>
    <w:rsid w:val="0096447D"/>
    <w:rsid w:val="009651E8"/>
    <w:rsid w:val="00967767"/>
    <w:rsid w:val="00972B9D"/>
    <w:rsid w:val="009759ED"/>
    <w:rsid w:val="0097635E"/>
    <w:rsid w:val="0098084D"/>
    <w:rsid w:val="009824DC"/>
    <w:rsid w:val="0098405D"/>
    <w:rsid w:val="0098559C"/>
    <w:rsid w:val="0099109A"/>
    <w:rsid w:val="009A0A1F"/>
    <w:rsid w:val="009A0EAC"/>
    <w:rsid w:val="009A62CF"/>
    <w:rsid w:val="009B27E9"/>
    <w:rsid w:val="009B2E26"/>
    <w:rsid w:val="009C6616"/>
    <w:rsid w:val="009C6BCF"/>
    <w:rsid w:val="009C6F33"/>
    <w:rsid w:val="009D66BC"/>
    <w:rsid w:val="009E1BEB"/>
    <w:rsid w:val="009E2EFA"/>
    <w:rsid w:val="009E50A5"/>
    <w:rsid w:val="009E5AAB"/>
    <w:rsid w:val="009E6439"/>
    <w:rsid w:val="009E707C"/>
    <w:rsid w:val="009E730D"/>
    <w:rsid w:val="009F3C6F"/>
    <w:rsid w:val="00A00895"/>
    <w:rsid w:val="00A01BA2"/>
    <w:rsid w:val="00A02F99"/>
    <w:rsid w:val="00A030F6"/>
    <w:rsid w:val="00A03DA4"/>
    <w:rsid w:val="00A06FD0"/>
    <w:rsid w:val="00A07261"/>
    <w:rsid w:val="00A10E91"/>
    <w:rsid w:val="00A1113C"/>
    <w:rsid w:val="00A1156E"/>
    <w:rsid w:val="00A14FF2"/>
    <w:rsid w:val="00A1734C"/>
    <w:rsid w:val="00A20C94"/>
    <w:rsid w:val="00A2137A"/>
    <w:rsid w:val="00A25ACB"/>
    <w:rsid w:val="00A41966"/>
    <w:rsid w:val="00A45A2B"/>
    <w:rsid w:val="00A46B70"/>
    <w:rsid w:val="00A50A66"/>
    <w:rsid w:val="00A54AD3"/>
    <w:rsid w:val="00A562E4"/>
    <w:rsid w:val="00A5639D"/>
    <w:rsid w:val="00A57109"/>
    <w:rsid w:val="00A66682"/>
    <w:rsid w:val="00A70232"/>
    <w:rsid w:val="00A72CD8"/>
    <w:rsid w:val="00A82E4F"/>
    <w:rsid w:val="00A85651"/>
    <w:rsid w:val="00A90ED8"/>
    <w:rsid w:val="00A94535"/>
    <w:rsid w:val="00A97D2D"/>
    <w:rsid w:val="00AA23C6"/>
    <w:rsid w:val="00AA6DC5"/>
    <w:rsid w:val="00AB269B"/>
    <w:rsid w:val="00AB2AB3"/>
    <w:rsid w:val="00AB3E15"/>
    <w:rsid w:val="00AB51E8"/>
    <w:rsid w:val="00AC26D1"/>
    <w:rsid w:val="00AC7BF8"/>
    <w:rsid w:val="00AD19E3"/>
    <w:rsid w:val="00AD20AB"/>
    <w:rsid w:val="00AD2AE9"/>
    <w:rsid w:val="00AD7CB2"/>
    <w:rsid w:val="00AE1AAE"/>
    <w:rsid w:val="00AE2F56"/>
    <w:rsid w:val="00AE3C4C"/>
    <w:rsid w:val="00AE73CB"/>
    <w:rsid w:val="00AF3CA9"/>
    <w:rsid w:val="00AF51FF"/>
    <w:rsid w:val="00AF5E5C"/>
    <w:rsid w:val="00B03547"/>
    <w:rsid w:val="00B03839"/>
    <w:rsid w:val="00B152DC"/>
    <w:rsid w:val="00B1763F"/>
    <w:rsid w:val="00B1799C"/>
    <w:rsid w:val="00B20042"/>
    <w:rsid w:val="00B234C1"/>
    <w:rsid w:val="00B32F92"/>
    <w:rsid w:val="00B45C93"/>
    <w:rsid w:val="00B503BC"/>
    <w:rsid w:val="00B62F00"/>
    <w:rsid w:val="00B64BA0"/>
    <w:rsid w:val="00B65034"/>
    <w:rsid w:val="00B70505"/>
    <w:rsid w:val="00B74C85"/>
    <w:rsid w:val="00B755D4"/>
    <w:rsid w:val="00B868D7"/>
    <w:rsid w:val="00B95FA6"/>
    <w:rsid w:val="00B97FCC"/>
    <w:rsid w:val="00BA1D07"/>
    <w:rsid w:val="00BA3F2F"/>
    <w:rsid w:val="00BA5F34"/>
    <w:rsid w:val="00BA60FA"/>
    <w:rsid w:val="00BB03F2"/>
    <w:rsid w:val="00BB33AF"/>
    <w:rsid w:val="00BB66AC"/>
    <w:rsid w:val="00BC0F9F"/>
    <w:rsid w:val="00BC1575"/>
    <w:rsid w:val="00BC2DAB"/>
    <w:rsid w:val="00BC4819"/>
    <w:rsid w:val="00BC647C"/>
    <w:rsid w:val="00BC7104"/>
    <w:rsid w:val="00BD5992"/>
    <w:rsid w:val="00BD6720"/>
    <w:rsid w:val="00BD6AB4"/>
    <w:rsid w:val="00BE0A2D"/>
    <w:rsid w:val="00BF18E7"/>
    <w:rsid w:val="00BF2264"/>
    <w:rsid w:val="00BF2526"/>
    <w:rsid w:val="00BF5CEA"/>
    <w:rsid w:val="00BF66FC"/>
    <w:rsid w:val="00C06E1D"/>
    <w:rsid w:val="00C15E93"/>
    <w:rsid w:val="00C2542C"/>
    <w:rsid w:val="00C35D1D"/>
    <w:rsid w:val="00C42413"/>
    <w:rsid w:val="00C4314B"/>
    <w:rsid w:val="00C43279"/>
    <w:rsid w:val="00C471AA"/>
    <w:rsid w:val="00C5575A"/>
    <w:rsid w:val="00C64DC9"/>
    <w:rsid w:val="00C661C5"/>
    <w:rsid w:val="00C71FF6"/>
    <w:rsid w:val="00C7662E"/>
    <w:rsid w:val="00C90C10"/>
    <w:rsid w:val="00C91306"/>
    <w:rsid w:val="00C91367"/>
    <w:rsid w:val="00C94519"/>
    <w:rsid w:val="00C961E3"/>
    <w:rsid w:val="00CA1D30"/>
    <w:rsid w:val="00CA3F4A"/>
    <w:rsid w:val="00CA7E23"/>
    <w:rsid w:val="00CB48C1"/>
    <w:rsid w:val="00CC0322"/>
    <w:rsid w:val="00CC05EB"/>
    <w:rsid w:val="00CC3D63"/>
    <w:rsid w:val="00CC3EF0"/>
    <w:rsid w:val="00CC6C2E"/>
    <w:rsid w:val="00CD155A"/>
    <w:rsid w:val="00CD35E8"/>
    <w:rsid w:val="00CD4E6E"/>
    <w:rsid w:val="00CD5348"/>
    <w:rsid w:val="00CE26CD"/>
    <w:rsid w:val="00CE38A1"/>
    <w:rsid w:val="00CE3B51"/>
    <w:rsid w:val="00CF4ABC"/>
    <w:rsid w:val="00CF522E"/>
    <w:rsid w:val="00D032B3"/>
    <w:rsid w:val="00D03C56"/>
    <w:rsid w:val="00D0458E"/>
    <w:rsid w:val="00D07D0E"/>
    <w:rsid w:val="00D16956"/>
    <w:rsid w:val="00D17BB1"/>
    <w:rsid w:val="00D20705"/>
    <w:rsid w:val="00D25626"/>
    <w:rsid w:val="00D26118"/>
    <w:rsid w:val="00D266EE"/>
    <w:rsid w:val="00D2799D"/>
    <w:rsid w:val="00D33528"/>
    <w:rsid w:val="00D33617"/>
    <w:rsid w:val="00D35C1D"/>
    <w:rsid w:val="00D43A45"/>
    <w:rsid w:val="00D44F94"/>
    <w:rsid w:val="00D5223F"/>
    <w:rsid w:val="00D63741"/>
    <w:rsid w:val="00D65C49"/>
    <w:rsid w:val="00D669F7"/>
    <w:rsid w:val="00D66EE0"/>
    <w:rsid w:val="00D67EC2"/>
    <w:rsid w:val="00D743E8"/>
    <w:rsid w:val="00D77715"/>
    <w:rsid w:val="00D800AA"/>
    <w:rsid w:val="00D807E6"/>
    <w:rsid w:val="00D80F3B"/>
    <w:rsid w:val="00D8524B"/>
    <w:rsid w:val="00D87A63"/>
    <w:rsid w:val="00D906CF"/>
    <w:rsid w:val="00D9073B"/>
    <w:rsid w:val="00D91569"/>
    <w:rsid w:val="00D91836"/>
    <w:rsid w:val="00D9345B"/>
    <w:rsid w:val="00D9758C"/>
    <w:rsid w:val="00DA594A"/>
    <w:rsid w:val="00DB020D"/>
    <w:rsid w:val="00DB4D39"/>
    <w:rsid w:val="00DC26E6"/>
    <w:rsid w:val="00DC2F2E"/>
    <w:rsid w:val="00DC6CEE"/>
    <w:rsid w:val="00DD03D4"/>
    <w:rsid w:val="00DD0B97"/>
    <w:rsid w:val="00DD3220"/>
    <w:rsid w:val="00DD618E"/>
    <w:rsid w:val="00DE0C70"/>
    <w:rsid w:val="00DE4A76"/>
    <w:rsid w:val="00DF1283"/>
    <w:rsid w:val="00DF176D"/>
    <w:rsid w:val="00DF2AF6"/>
    <w:rsid w:val="00DF5E98"/>
    <w:rsid w:val="00DF76BC"/>
    <w:rsid w:val="00E003A3"/>
    <w:rsid w:val="00E033F0"/>
    <w:rsid w:val="00E0436B"/>
    <w:rsid w:val="00E06BCC"/>
    <w:rsid w:val="00E15970"/>
    <w:rsid w:val="00E23FE3"/>
    <w:rsid w:val="00E24D01"/>
    <w:rsid w:val="00E266A0"/>
    <w:rsid w:val="00E305CC"/>
    <w:rsid w:val="00E349AA"/>
    <w:rsid w:val="00E40313"/>
    <w:rsid w:val="00E42E8C"/>
    <w:rsid w:val="00E43587"/>
    <w:rsid w:val="00E454E4"/>
    <w:rsid w:val="00E46875"/>
    <w:rsid w:val="00E46ADB"/>
    <w:rsid w:val="00E50837"/>
    <w:rsid w:val="00E55ABA"/>
    <w:rsid w:val="00E61428"/>
    <w:rsid w:val="00E636A3"/>
    <w:rsid w:val="00E63A05"/>
    <w:rsid w:val="00E73CC3"/>
    <w:rsid w:val="00E76E87"/>
    <w:rsid w:val="00E771B0"/>
    <w:rsid w:val="00E772C4"/>
    <w:rsid w:val="00E92F71"/>
    <w:rsid w:val="00EA1A1E"/>
    <w:rsid w:val="00EA1D3F"/>
    <w:rsid w:val="00EA4EE1"/>
    <w:rsid w:val="00EA6F95"/>
    <w:rsid w:val="00EA70A7"/>
    <w:rsid w:val="00EA7545"/>
    <w:rsid w:val="00EB272B"/>
    <w:rsid w:val="00EB2C46"/>
    <w:rsid w:val="00EC0015"/>
    <w:rsid w:val="00EC4D10"/>
    <w:rsid w:val="00ED440E"/>
    <w:rsid w:val="00EE367F"/>
    <w:rsid w:val="00EE73EF"/>
    <w:rsid w:val="00EF2E32"/>
    <w:rsid w:val="00EF77FD"/>
    <w:rsid w:val="00F02ABC"/>
    <w:rsid w:val="00F0575B"/>
    <w:rsid w:val="00F06BB0"/>
    <w:rsid w:val="00F07D64"/>
    <w:rsid w:val="00F10359"/>
    <w:rsid w:val="00F125B9"/>
    <w:rsid w:val="00F12886"/>
    <w:rsid w:val="00F20B39"/>
    <w:rsid w:val="00F23028"/>
    <w:rsid w:val="00F34663"/>
    <w:rsid w:val="00F43AA9"/>
    <w:rsid w:val="00F44170"/>
    <w:rsid w:val="00F47617"/>
    <w:rsid w:val="00F5033F"/>
    <w:rsid w:val="00F57245"/>
    <w:rsid w:val="00F603F7"/>
    <w:rsid w:val="00F63A14"/>
    <w:rsid w:val="00F7322A"/>
    <w:rsid w:val="00F81B59"/>
    <w:rsid w:val="00F81DC3"/>
    <w:rsid w:val="00F82A9A"/>
    <w:rsid w:val="00F92423"/>
    <w:rsid w:val="00F92F64"/>
    <w:rsid w:val="00F97E96"/>
    <w:rsid w:val="00FA124E"/>
    <w:rsid w:val="00FA2A5C"/>
    <w:rsid w:val="00FA49AF"/>
    <w:rsid w:val="00FA4E27"/>
    <w:rsid w:val="00FB3735"/>
    <w:rsid w:val="00FB3CBE"/>
    <w:rsid w:val="00FB536F"/>
    <w:rsid w:val="00FB573D"/>
    <w:rsid w:val="00FB5E17"/>
    <w:rsid w:val="00FC46C5"/>
    <w:rsid w:val="00FC5639"/>
    <w:rsid w:val="00FD0F4D"/>
    <w:rsid w:val="00FD5966"/>
    <w:rsid w:val="00FD7454"/>
    <w:rsid w:val="00FE24DB"/>
    <w:rsid w:val="00FE6BED"/>
    <w:rsid w:val="00FE6DFF"/>
    <w:rsid w:val="00FF47EC"/>
    <w:rsid w:val="00FF7072"/>
    <w:rsid w:val="017026CB"/>
    <w:rsid w:val="0216214B"/>
    <w:rsid w:val="0219652D"/>
    <w:rsid w:val="03860AEB"/>
    <w:rsid w:val="03DE0409"/>
    <w:rsid w:val="056B5B67"/>
    <w:rsid w:val="057D6C03"/>
    <w:rsid w:val="066E0D3C"/>
    <w:rsid w:val="069D55AB"/>
    <w:rsid w:val="07CE4A71"/>
    <w:rsid w:val="08B12F0F"/>
    <w:rsid w:val="08C8030F"/>
    <w:rsid w:val="0AF61762"/>
    <w:rsid w:val="0B0E494B"/>
    <w:rsid w:val="0BA74D66"/>
    <w:rsid w:val="0C1361E5"/>
    <w:rsid w:val="0CC05097"/>
    <w:rsid w:val="0CF633E0"/>
    <w:rsid w:val="0CF80333"/>
    <w:rsid w:val="0D7727CD"/>
    <w:rsid w:val="0D85528C"/>
    <w:rsid w:val="0DD61C3F"/>
    <w:rsid w:val="101E79CF"/>
    <w:rsid w:val="119A085C"/>
    <w:rsid w:val="11C469CC"/>
    <w:rsid w:val="124737F7"/>
    <w:rsid w:val="12533748"/>
    <w:rsid w:val="12FF2CAB"/>
    <w:rsid w:val="13E85D52"/>
    <w:rsid w:val="14261483"/>
    <w:rsid w:val="14616DF0"/>
    <w:rsid w:val="14C02AA2"/>
    <w:rsid w:val="15D44680"/>
    <w:rsid w:val="15F80BDA"/>
    <w:rsid w:val="1616764F"/>
    <w:rsid w:val="17025848"/>
    <w:rsid w:val="1732004A"/>
    <w:rsid w:val="188D4A3C"/>
    <w:rsid w:val="18A345C3"/>
    <w:rsid w:val="18FD7E5D"/>
    <w:rsid w:val="19370FE4"/>
    <w:rsid w:val="19883B97"/>
    <w:rsid w:val="19CC0E62"/>
    <w:rsid w:val="1A0B3A10"/>
    <w:rsid w:val="1A4C0C1B"/>
    <w:rsid w:val="1AB70811"/>
    <w:rsid w:val="1B146A29"/>
    <w:rsid w:val="1B8A6482"/>
    <w:rsid w:val="1B9B4480"/>
    <w:rsid w:val="1BFD2AAB"/>
    <w:rsid w:val="1C496F8E"/>
    <w:rsid w:val="1CBA1EC9"/>
    <w:rsid w:val="1D883171"/>
    <w:rsid w:val="1FF518C8"/>
    <w:rsid w:val="20672409"/>
    <w:rsid w:val="20A81651"/>
    <w:rsid w:val="213B46B2"/>
    <w:rsid w:val="2154402F"/>
    <w:rsid w:val="21854521"/>
    <w:rsid w:val="233B389F"/>
    <w:rsid w:val="235C3381"/>
    <w:rsid w:val="238C458D"/>
    <w:rsid w:val="23A83C63"/>
    <w:rsid w:val="24A25F55"/>
    <w:rsid w:val="24DD06F4"/>
    <w:rsid w:val="25C7239A"/>
    <w:rsid w:val="267D1C10"/>
    <w:rsid w:val="2690092A"/>
    <w:rsid w:val="272B708E"/>
    <w:rsid w:val="27342133"/>
    <w:rsid w:val="27840543"/>
    <w:rsid w:val="2A290F37"/>
    <w:rsid w:val="2A4B26E2"/>
    <w:rsid w:val="2B701B8C"/>
    <w:rsid w:val="2C703D6D"/>
    <w:rsid w:val="2D044581"/>
    <w:rsid w:val="2DBF2EE2"/>
    <w:rsid w:val="2DDE7E84"/>
    <w:rsid w:val="2ECD2406"/>
    <w:rsid w:val="2F667E5B"/>
    <w:rsid w:val="2FCE502B"/>
    <w:rsid w:val="2FEC6488"/>
    <w:rsid w:val="309972A1"/>
    <w:rsid w:val="30E02E11"/>
    <w:rsid w:val="30E3325A"/>
    <w:rsid w:val="311235EA"/>
    <w:rsid w:val="33CB5ACF"/>
    <w:rsid w:val="346C46AC"/>
    <w:rsid w:val="347B4CA7"/>
    <w:rsid w:val="34D4687B"/>
    <w:rsid w:val="34EA38FD"/>
    <w:rsid w:val="34F42803"/>
    <w:rsid w:val="374F795C"/>
    <w:rsid w:val="3764073E"/>
    <w:rsid w:val="37706617"/>
    <w:rsid w:val="37EA67D7"/>
    <w:rsid w:val="38A00F55"/>
    <w:rsid w:val="39B57DD3"/>
    <w:rsid w:val="39BC62F0"/>
    <w:rsid w:val="39FF5A9C"/>
    <w:rsid w:val="3A0E47BB"/>
    <w:rsid w:val="3AB00B87"/>
    <w:rsid w:val="3D7D4287"/>
    <w:rsid w:val="3E483695"/>
    <w:rsid w:val="3E986D99"/>
    <w:rsid w:val="3F2B152E"/>
    <w:rsid w:val="3FC34411"/>
    <w:rsid w:val="3FF13704"/>
    <w:rsid w:val="41373BF6"/>
    <w:rsid w:val="4186493C"/>
    <w:rsid w:val="42BD6EBB"/>
    <w:rsid w:val="4303280C"/>
    <w:rsid w:val="43553EE6"/>
    <w:rsid w:val="436D5D87"/>
    <w:rsid w:val="440110B6"/>
    <w:rsid w:val="44053984"/>
    <w:rsid w:val="44323855"/>
    <w:rsid w:val="466869C5"/>
    <w:rsid w:val="46A931A6"/>
    <w:rsid w:val="479A6BB2"/>
    <w:rsid w:val="487D3038"/>
    <w:rsid w:val="48DE52AC"/>
    <w:rsid w:val="49AD34D2"/>
    <w:rsid w:val="4B9E2320"/>
    <w:rsid w:val="4BE04E47"/>
    <w:rsid w:val="4C000DE3"/>
    <w:rsid w:val="4C4579F1"/>
    <w:rsid w:val="4C9C7667"/>
    <w:rsid w:val="4CBB47F5"/>
    <w:rsid w:val="4D7A25EA"/>
    <w:rsid w:val="4E9F6595"/>
    <w:rsid w:val="520F325F"/>
    <w:rsid w:val="52476E2B"/>
    <w:rsid w:val="528F52D1"/>
    <w:rsid w:val="53212D0E"/>
    <w:rsid w:val="54060D1F"/>
    <w:rsid w:val="5479292E"/>
    <w:rsid w:val="54BB01F2"/>
    <w:rsid w:val="54EA7ADF"/>
    <w:rsid w:val="55432F3C"/>
    <w:rsid w:val="55A74EC1"/>
    <w:rsid w:val="56BE5DD8"/>
    <w:rsid w:val="58206093"/>
    <w:rsid w:val="58293D63"/>
    <w:rsid w:val="58D10F87"/>
    <w:rsid w:val="596C2A61"/>
    <w:rsid w:val="5A591ED9"/>
    <w:rsid w:val="5B3E25E0"/>
    <w:rsid w:val="5B890F52"/>
    <w:rsid w:val="5D3A089C"/>
    <w:rsid w:val="5D627035"/>
    <w:rsid w:val="5DED071E"/>
    <w:rsid w:val="5E986D13"/>
    <w:rsid w:val="5F147041"/>
    <w:rsid w:val="5F5C7E14"/>
    <w:rsid w:val="5F5E714B"/>
    <w:rsid w:val="5FD05B86"/>
    <w:rsid w:val="60364BC9"/>
    <w:rsid w:val="60FC2732"/>
    <w:rsid w:val="613774DA"/>
    <w:rsid w:val="63620788"/>
    <w:rsid w:val="63AF2F78"/>
    <w:rsid w:val="63E42FFC"/>
    <w:rsid w:val="646B5807"/>
    <w:rsid w:val="64AA23AE"/>
    <w:rsid w:val="64C743E6"/>
    <w:rsid w:val="64DD11A2"/>
    <w:rsid w:val="651D569D"/>
    <w:rsid w:val="654A6EF7"/>
    <w:rsid w:val="65830543"/>
    <w:rsid w:val="65A11CE5"/>
    <w:rsid w:val="663529F6"/>
    <w:rsid w:val="668D0F66"/>
    <w:rsid w:val="66E663C3"/>
    <w:rsid w:val="67270698"/>
    <w:rsid w:val="67992790"/>
    <w:rsid w:val="69A76FEF"/>
    <w:rsid w:val="69CB4133"/>
    <w:rsid w:val="6A107439"/>
    <w:rsid w:val="6A423F22"/>
    <w:rsid w:val="6AA63710"/>
    <w:rsid w:val="6AB2053B"/>
    <w:rsid w:val="6B2A7634"/>
    <w:rsid w:val="6B7640A8"/>
    <w:rsid w:val="6BC54773"/>
    <w:rsid w:val="6BC75353"/>
    <w:rsid w:val="6CD47A47"/>
    <w:rsid w:val="6DA22EC9"/>
    <w:rsid w:val="6DC566C3"/>
    <w:rsid w:val="6ECE6064"/>
    <w:rsid w:val="6ECF4147"/>
    <w:rsid w:val="6EDC1072"/>
    <w:rsid w:val="6F327BFE"/>
    <w:rsid w:val="6F7A736B"/>
    <w:rsid w:val="714171CE"/>
    <w:rsid w:val="719A16CB"/>
    <w:rsid w:val="71FB4267"/>
    <w:rsid w:val="723E6B38"/>
    <w:rsid w:val="7240239C"/>
    <w:rsid w:val="72457D5A"/>
    <w:rsid w:val="731A6FEE"/>
    <w:rsid w:val="74632A54"/>
    <w:rsid w:val="74967939"/>
    <w:rsid w:val="74AA2238"/>
    <w:rsid w:val="74E150AC"/>
    <w:rsid w:val="75002F7B"/>
    <w:rsid w:val="756902FD"/>
    <w:rsid w:val="75E703B0"/>
    <w:rsid w:val="76804722"/>
    <w:rsid w:val="76DE551B"/>
    <w:rsid w:val="78022F94"/>
    <w:rsid w:val="7939677C"/>
    <w:rsid w:val="796B6BF4"/>
    <w:rsid w:val="7983378B"/>
    <w:rsid w:val="7A050D39"/>
    <w:rsid w:val="7A967455"/>
    <w:rsid w:val="7AAB3037"/>
    <w:rsid w:val="7ADF5F28"/>
    <w:rsid w:val="7BC174D7"/>
    <w:rsid w:val="7BCB03ED"/>
    <w:rsid w:val="7E6E1A63"/>
    <w:rsid w:val="7F9D0291"/>
  </w:rsids>
  <m:mathPr>
    <m:mathFont m:val="Cambria Math"/>
    <m:brkBin m:val="before"/>
    <m:brkBinSub m:val="--"/>
    <m:smallFrac m:val="1"/>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nhideWhenUsed="0" w:uiPriority="99"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qFormat="1" w:uiPriority="99" w:semiHidden="0" w:name="endnote reference"/>
    <w:lsdException w:qFormat="1" w:uiPriority="99"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1"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qFormat="1" w:uiPriority="0" w:semiHidden="0"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qFormat="1" w:uiPriority="99" w:semiHidden="0"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5">
    <w:name w:val="heading 1"/>
    <w:basedOn w:val="1"/>
    <w:next w:val="1"/>
    <w:link w:val="44"/>
    <w:qFormat/>
    <w:uiPriority w:val="0"/>
    <w:pPr>
      <w:keepNext/>
      <w:keepLines/>
      <w:numPr>
        <w:ilvl w:val="0"/>
        <w:numId w:val="1"/>
      </w:numPr>
      <w:spacing w:beforeLines="150" w:afterLines="100"/>
      <w:jc w:val="center"/>
      <w:outlineLvl w:val="0"/>
    </w:pPr>
    <w:rPr>
      <w:rFonts w:ascii="Calibri" w:hAnsi="Calibri" w:eastAsia="仿宋_GB2312"/>
      <w:b/>
      <w:bCs/>
      <w:kern w:val="44"/>
      <w:sz w:val="36"/>
      <w:szCs w:val="44"/>
    </w:rPr>
  </w:style>
  <w:style w:type="paragraph" w:styleId="6">
    <w:name w:val="heading 2"/>
    <w:basedOn w:val="1"/>
    <w:next w:val="7"/>
    <w:link w:val="45"/>
    <w:qFormat/>
    <w:uiPriority w:val="0"/>
    <w:pPr>
      <w:keepNext/>
      <w:keepLines/>
      <w:numPr>
        <w:ilvl w:val="1"/>
        <w:numId w:val="1"/>
      </w:numPr>
      <w:tabs>
        <w:tab w:val="left" w:pos="851"/>
      </w:tabs>
      <w:spacing w:before="100" w:beforeAutospacing="1" w:line="360" w:lineRule="auto"/>
      <w:outlineLvl w:val="1"/>
    </w:pPr>
    <w:rPr>
      <w:rFonts w:eastAsia="仿宋_GB2312"/>
      <w:b/>
      <w:bCs/>
      <w:sz w:val="28"/>
      <w:szCs w:val="28"/>
    </w:rPr>
  </w:style>
  <w:style w:type="paragraph" w:styleId="8">
    <w:name w:val="heading 3"/>
    <w:basedOn w:val="1"/>
    <w:next w:val="1"/>
    <w:link w:val="46"/>
    <w:qFormat/>
    <w:uiPriority w:val="0"/>
    <w:pPr>
      <w:keepNext/>
      <w:keepLines/>
      <w:numPr>
        <w:ilvl w:val="2"/>
        <w:numId w:val="1"/>
      </w:numPr>
      <w:tabs>
        <w:tab w:val="left" w:pos="425"/>
      </w:tabs>
      <w:outlineLvl w:val="2"/>
    </w:pPr>
    <w:rPr>
      <w:rFonts w:ascii="Calibri" w:hAnsi="Calibri" w:eastAsia="黑体"/>
      <w:b/>
      <w:bCs/>
      <w:sz w:val="30"/>
      <w:szCs w:val="32"/>
    </w:rPr>
  </w:style>
  <w:style w:type="paragraph" w:styleId="9">
    <w:name w:val="heading 4"/>
    <w:basedOn w:val="1"/>
    <w:next w:val="7"/>
    <w:link w:val="47"/>
    <w:qFormat/>
    <w:uiPriority w:val="0"/>
    <w:pPr>
      <w:keepNext/>
      <w:keepLines/>
      <w:numPr>
        <w:ilvl w:val="3"/>
        <w:numId w:val="1"/>
      </w:numPr>
      <w:spacing w:before="60" w:after="60" w:line="360" w:lineRule="auto"/>
      <w:outlineLvl w:val="3"/>
    </w:pPr>
    <w:rPr>
      <w:b/>
      <w:bCs/>
      <w:sz w:val="28"/>
      <w:szCs w:val="28"/>
    </w:rPr>
  </w:style>
  <w:style w:type="paragraph" w:styleId="10">
    <w:name w:val="heading 5"/>
    <w:basedOn w:val="1"/>
    <w:next w:val="1"/>
    <w:link w:val="48"/>
    <w:qFormat/>
    <w:uiPriority w:val="0"/>
    <w:pPr>
      <w:keepNext/>
      <w:keepLines/>
      <w:tabs>
        <w:tab w:val="left" w:pos="1008"/>
      </w:tabs>
      <w:spacing w:before="280" w:after="290" w:line="372" w:lineRule="auto"/>
      <w:ind w:left="1008" w:hanging="1008"/>
      <w:outlineLvl w:val="4"/>
    </w:pPr>
    <w:rPr>
      <w:b/>
      <w:kern w:val="0"/>
      <w:sz w:val="28"/>
      <w:szCs w:val="20"/>
    </w:rPr>
  </w:style>
  <w:style w:type="paragraph" w:styleId="11">
    <w:name w:val="heading 6"/>
    <w:basedOn w:val="1"/>
    <w:next w:val="1"/>
    <w:link w:val="49"/>
    <w:qFormat/>
    <w:uiPriority w:val="0"/>
    <w:pPr>
      <w:keepNext/>
      <w:keepLines/>
      <w:tabs>
        <w:tab w:val="left" w:pos="1152"/>
      </w:tabs>
      <w:spacing w:before="240" w:after="64" w:line="317" w:lineRule="auto"/>
      <w:ind w:left="1152" w:hanging="1152"/>
      <w:outlineLvl w:val="5"/>
    </w:pPr>
    <w:rPr>
      <w:rFonts w:ascii="Arial" w:hAnsi="Arial" w:eastAsia="黑体"/>
      <w:b/>
      <w:kern w:val="0"/>
      <w:sz w:val="24"/>
      <w:szCs w:val="20"/>
    </w:rPr>
  </w:style>
  <w:style w:type="paragraph" w:styleId="12">
    <w:name w:val="heading 7"/>
    <w:basedOn w:val="1"/>
    <w:next w:val="1"/>
    <w:link w:val="50"/>
    <w:qFormat/>
    <w:uiPriority w:val="99"/>
    <w:pPr>
      <w:keepNext/>
      <w:keepLines/>
      <w:tabs>
        <w:tab w:val="left" w:pos="1296"/>
      </w:tabs>
      <w:spacing w:before="240" w:after="64" w:line="320" w:lineRule="auto"/>
      <w:ind w:left="1296" w:hanging="1296"/>
      <w:outlineLvl w:val="6"/>
    </w:pPr>
    <w:rPr>
      <w:b/>
      <w:bCs/>
      <w:kern w:val="0"/>
      <w:sz w:val="24"/>
      <w:szCs w:val="24"/>
    </w:rPr>
  </w:style>
  <w:style w:type="paragraph" w:styleId="13">
    <w:name w:val="heading 8"/>
    <w:basedOn w:val="1"/>
    <w:next w:val="1"/>
    <w:link w:val="51"/>
    <w:qFormat/>
    <w:uiPriority w:val="99"/>
    <w:pPr>
      <w:keepNext/>
      <w:keepLines/>
      <w:tabs>
        <w:tab w:val="left" w:pos="1440"/>
      </w:tabs>
      <w:spacing w:before="240" w:after="64" w:line="320" w:lineRule="auto"/>
      <w:ind w:left="1440" w:hanging="1440"/>
      <w:outlineLvl w:val="7"/>
    </w:pPr>
    <w:rPr>
      <w:rFonts w:ascii="Cambria" w:hAnsi="Cambria"/>
      <w:kern w:val="0"/>
      <w:sz w:val="24"/>
      <w:szCs w:val="24"/>
    </w:rPr>
  </w:style>
  <w:style w:type="paragraph" w:styleId="14">
    <w:name w:val="heading 9"/>
    <w:basedOn w:val="1"/>
    <w:next w:val="1"/>
    <w:link w:val="52"/>
    <w:qFormat/>
    <w:uiPriority w:val="99"/>
    <w:pPr>
      <w:keepNext/>
      <w:keepLines/>
      <w:tabs>
        <w:tab w:val="left" w:pos="1584"/>
      </w:tabs>
      <w:spacing w:before="240" w:after="64" w:line="320" w:lineRule="auto"/>
      <w:ind w:left="1584" w:hanging="1584"/>
      <w:outlineLvl w:val="8"/>
    </w:pPr>
    <w:rPr>
      <w:rFonts w:ascii="Cambria" w:hAnsi="Cambria"/>
      <w:kern w:val="0"/>
      <w:sz w:val="24"/>
    </w:rPr>
  </w:style>
  <w:style w:type="character" w:default="1" w:styleId="37">
    <w:name w:val="Default Paragraph Font"/>
    <w:semiHidden/>
    <w:unhideWhenUsed/>
    <w:qFormat/>
    <w:uiPriority w:val="1"/>
  </w:style>
  <w:style w:type="table" w:default="1" w:styleId="35">
    <w:name w:val="Normal Table"/>
    <w:semiHidden/>
    <w:unhideWhenUsed/>
    <w:qFormat/>
    <w:uiPriority w:val="99"/>
    <w:tblPr>
      <w:tblCellMar>
        <w:top w:w="0" w:type="dxa"/>
        <w:left w:w="108" w:type="dxa"/>
        <w:bottom w:w="0" w:type="dxa"/>
        <w:right w:w="108" w:type="dxa"/>
      </w:tblCellMar>
    </w:tblPr>
  </w:style>
  <w:style w:type="paragraph" w:customStyle="1" w:styleId="2">
    <w:name w:val="BodyText1I2"/>
    <w:basedOn w:val="3"/>
    <w:qFormat/>
    <w:uiPriority w:val="0"/>
    <w:pPr>
      <w:spacing w:after="0"/>
      <w:ind w:firstLine="200" w:firstLineChars="200"/>
    </w:pPr>
    <w:rPr>
      <w:rFonts w:ascii="Calibri" w:hAnsi="Calibri"/>
    </w:rPr>
  </w:style>
  <w:style w:type="paragraph" w:customStyle="1" w:styleId="3">
    <w:name w:val="BodyTextIndent"/>
    <w:basedOn w:val="1"/>
    <w:next w:val="4"/>
    <w:qFormat/>
    <w:uiPriority w:val="0"/>
    <w:pPr>
      <w:spacing w:after="120"/>
      <w:ind w:left="200" w:leftChars="200"/>
      <w:textAlignment w:val="baseline"/>
    </w:pPr>
    <w:rPr>
      <w:rFonts w:ascii="Times New Roman" w:hAnsi="Times New Roman" w:eastAsia="宋体"/>
      <w:szCs w:val="24"/>
    </w:rPr>
  </w:style>
  <w:style w:type="paragraph" w:customStyle="1" w:styleId="4">
    <w:name w:val="NormalIndent"/>
    <w:basedOn w:val="1"/>
    <w:qFormat/>
    <w:uiPriority w:val="0"/>
    <w:pPr>
      <w:ind w:firstLine="200" w:firstLineChars="200"/>
      <w:textAlignment w:val="baseline"/>
    </w:pPr>
    <w:rPr>
      <w:rFonts w:ascii="Times New Roman" w:hAnsi="Times New Roman" w:eastAsia="仿宋"/>
      <w:szCs w:val="24"/>
    </w:rPr>
  </w:style>
  <w:style w:type="paragraph" w:styleId="7">
    <w:name w:val="Normal Indent"/>
    <w:basedOn w:val="1"/>
    <w:qFormat/>
    <w:uiPriority w:val="0"/>
    <w:pPr>
      <w:spacing w:line="300" w:lineRule="auto"/>
    </w:pPr>
    <w:rPr>
      <w:rFonts w:ascii="Arial" w:hAnsi="Arial"/>
      <w:bCs/>
      <w:sz w:val="24"/>
    </w:rPr>
  </w:style>
  <w:style w:type="paragraph" w:styleId="15">
    <w:name w:val="caption"/>
    <w:basedOn w:val="1"/>
    <w:next w:val="1"/>
    <w:qFormat/>
    <w:uiPriority w:val="99"/>
    <w:rPr>
      <w:rFonts w:ascii="等线 Light" w:hAnsi="等线 Light" w:eastAsia="黑体"/>
      <w:sz w:val="20"/>
      <w:szCs w:val="20"/>
    </w:rPr>
  </w:style>
  <w:style w:type="paragraph" w:styleId="16">
    <w:name w:val="Document Map"/>
    <w:basedOn w:val="1"/>
    <w:link w:val="53"/>
    <w:unhideWhenUsed/>
    <w:qFormat/>
    <w:uiPriority w:val="99"/>
    <w:rPr>
      <w:rFonts w:ascii="宋体"/>
      <w:kern w:val="0"/>
      <w:sz w:val="18"/>
      <w:szCs w:val="18"/>
    </w:rPr>
  </w:style>
  <w:style w:type="paragraph" w:styleId="17">
    <w:name w:val="annotation text"/>
    <w:basedOn w:val="1"/>
    <w:link w:val="54"/>
    <w:qFormat/>
    <w:uiPriority w:val="0"/>
    <w:pPr>
      <w:spacing w:line="360" w:lineRule="auto"/>
      <w:ind w:firstLine="200" w:firstLineChars="200"/>
      <w:jc w:val="left"/>
    </w:pPr>
    <w:rPr>
      <w:kern w:val="0"/>
      <w:sz w:val="20"/>
      <w:szCs w:val="20"/>
    </w:rPr>
  </w:style>
  <w:style w:type="paragraph" w:styleId="18">
    <w:name w:val="Body Text"/>
    <w:basedOn w:val="1"/>
    <w:next w:val="1"/>
    <w:qFormat/>
    <w:uiPriority w:val="1"/>
    <w:rPr>
      <w:sz w:val="24"/>
      <w:szCs w:val="24"/>
    </w:rPr>
  </w:style>
  <w:style w:type="paragraph" w:styleId="19">
    <w:name w:val="Body Text Indent"/>
    <w:basedOn w:val="1"/>
    <w:link w:val="55"/>
    <w:unhideWhenUsed/>
    <w:qFormat/>
    <w:uiPriority w:val="99"/>
    <w:pPr>
      <w:spacing w:after="120"/>
      <w:ind w:left="420" w:leftChars="200"/>
    </w:pPr>
    <w:rPr>
      <w:rFonts w:ascii="Calibri" w:hAnsi="Calibri"/>
      <w:kern w:val="0"/>
      <w:sz w:val="20"/>
      <w:szCs w:val="20"/>
    </w:rPr>
  </w:style>
  <w:style w:type="paragraph" w:styleId="20">
    <w:name w:val="toc 3"/>
    <w:basedOn w:val="1"/>
    <w:next w:val="1"/>
    <w:unhideWhenUsed/>
    <w:qFormat/>
    <w:uiPriority w:val="39"/>
    <w:pPr>
      <w:ind w:left="840" w:leftChars="400"/>
    </w:pPr>
  </w:style>
  <w:style w:type="paragraph" w:styleId="21">
    <w:name w:val="Date"/>
    <w:basedOn w:val="1"/>
    <w:next w:val="1"/>
    <w:link w:val="56"/>
    <w:unhideWhenUsed/>
    <w:qFormat/>
    <w:uiPriority w:val="99"/>
    <w:pPr>
      <w:ind w:left="100" w:leftChars="2500"/>
    </w:pPr>
    <w:rPr>
      <w:rFonts w:ascii="Calibri" w:hAnsi="Calibri"/>
      <w:kern w:val="0"/>
      <w:sz w:val="20"/>
      <w:szCs w:val="20"/>
    </w:rPr>
  </w:style>
  <w:style w:type="paragraph" w:styleId="22">
    <w:name w:val="Body Text Indent 2"/>
    <w:basedOn w:val="1"/>
    <w:link w:val="57"/>
    <w:qFormat/>
    <w:uiPriority w:val="0"/>
    <w:pPr>
      <w:ind w:firstLine="600"/>
    </w:pPr>
    <w:rPr>
      <w:rFonts w:ascii="仿宋_GB2312" w:eastAsia="仿宋_GB2312"/>
      <w:kern w:val="0"/>
      <w:sz w:val="30"/>
      <w:szCs w:val="30"/>
    </w:rPr>
  </w:style>
  <w:style w:type="paragraph" w:styleId="23">
    <w:name w:val="endnote text"/>
    <w:basedOn w:val="1"/>
    <w:unhideWhenUsed/>
    <w:qFormat/>
    <w:uiPriority w:val="99"/>
    <w:pPr>
      <w:snapToGrid w:val="0"/>
      <w:jc w:val="left"/>
    </w:pPr>
  </w:style>
  <w:style w:type="paragraph" w:styleId="24">
    <w:name w:val="Balloon Text"/>
    <w:basedOn w:val="1"/>
    <w:link w:val="58"/>
    <w:unhideWhenUsed/>
    <w:qFormat/>
    <w:uiPriority w:val="99"/>
    <w:rPr>
      <w:kern w:val="0"/>
      <w:sz w:val="18"/>
      <w:szCs w:val="18"/>
    </w:rPr>
  </w:style>
  <w:style w:type="paragraph" w:styleId="25">
    <w:name w:val="footer"/>
    <w:basedOn w:val="1"/>
    <w:link w:val="59"/>
    <w:unhideWhenUsed/>
    <w:qFormat/>
    <w:uiPriority w:val="99"/>
    <w:pPr>
      <w:tabs>
        <w:tab w:val="center" w:pos="4153"/>
        <w:tab w:val="right" w:pos="8306"/>
      </w:tabs>
      <w:snapToGrid w:val="0"/>
      <w:jc w:val="left"/>
    </w:pPr>
    <w:rPr>
      <w:kern w:val="0"/>
      <w:sz w:val="18"/>
      <w:szCs w:val="18"/>
    </w:rPr>
  </w:style>
  <w:style w:type="paragraph" w:styleId="26">
    <w:name w:val="header"/>
    <w:basedOn w:val="1"/>
    <w:next w:val="1"/>
    <w:link w:val="43"/>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27">
    <w:name w:val="toc 1"/>
    <w:basedOn w:val="1"/>
    <w:next w:val="1"/>
    <w:qFormat/>
    <w:uiPriority w:val="39"/>
    <w:pPr>
      <w:jc w:val="left"/>
    </w:pPr>
    <w:rPr>
      <w:rFonts w:eastAsia="方正楷体简体"/>
      <w:b/>
      <w:bCs/>
      <w:caps/>
      <w:sz w:val="30"/>
      <w:szCs w:val="20"/>
    </w:rPr>
  </w:style>
  <w:style w:type="paragraph" w:styleId="28">
    <w:name w:val="Subtitle"/>
    <w:basedOn w:val="1"/>
    <w:next w:val="1"/>
    <w:qFormat/>
    <w:uiPriority w:val="11"/>
    <w:pPr>
      <w:wordWrap w:val="0"/>
      <w:spacing w:after="60"/>
      <w:jc w:val="center"/>
    </w:pPr>
    <w:rPr>
      <w:rFonts w:eastAsia="Times New Roman"/>
      <w:sz w:val="24"/>
    </w:rPr>
  </w:style>
  <w:style w:type="paragraph" w:styleId="29">
    <w:name w:val="Body Text Indent 3"/>
    <w:basedOn w:val="1"/>
    <w:unhideWhenUsed/>
    <w:qFormat/>
    <w:uiPriority w:val="99"/>
    <w:pPr>
      <w:spacing w:after="120"/>
      <w:ind w:left="420" w:leftChars="200"/>
    </w:pPr>
    <w:rPr>
      <w:kern w:val="0"/>
      <w:sz w:val="16"/>
      <w:szCs w:val="16"/>
    </w:rPr>
  </w:style>
  <w:style w:type="paragraph" w:styleId="30">
    <w:name w:val="toc 2"/>
    <w:basedOn w:val="1"/>
    <w:next w:val="1"/>
    <w:qFormat/>
    <w:uiPriority w:val="39"/>
    <w:pPr>
      <w:ind w:left="278"/>
      <w:jc w:val="left"/>
    </w:pPr>
    <w:rPr>
      <w:rFonts w:eastAsia="方正楷体简体"/>
      <w:smallCaps/>
      <w:sz w:val="28"/>
      <w:szCs w:val="20"/>
    </w:rPr>
  </w:style>
  <w:style w:type="paragraph" w:styleId="3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32">
    <w:name w:val="Title"/>
    <w:basedOn w:val="1"/>
    <w:next w:val="1"/>
    <w:link w:val="60"/>
    <w:qFormat/>
    <w:uiPriority w:val="0"/>
    <w:pPr>
      <w:spacing w:line="360" w:lineRule="auto"/>
      <w:jc w:val="center"/>
    </w:pPr>
    <w:rPr>
      <w:b/>
      <w:bCs/>
      <w:snapToGrid w:val="0"/>
      <w:kern w:val="0"/>
      <w:sz w:val="24"/>
      <w:szCs w:val="32"/>
    </w:rPr>
  </w:style>
  <w:style w:type="paragraph" w:styleId="33">
    <w:name w:val="annotation subject"/>
    <w:basedOn w:val="17"/>
    <w:next w:val="17"/>
    <w:link w:val="61"/>
    <w:unhideWhenUsed/>
    <w:qFormat/>
    <w:uiPriority w:val="99"/>
    <w:pPr>
      <w:spacing w:line="240" w:lineRule="auto"/>
      <w:ind w:firstLine="0" w:firstLineChars="0"/>
    </w:pPr>
    <w:rPr>
      <w:rFonts w:ascii="Calibri" w:hAnsi="Calibri"/>
      <w:b/>
      <w:bCs/>
      <w:kern w:val="2"/>
      <w:sz w:val="21"/>
      <w:szCs w:val="22"/>
    </w:rPr>
  </w:style>
  <w:style w:type="paragraph" w:styleId="34">
    <w:name w:val="Body Text First Indent"/>
    <w:basedOn w:val="18"/>
    <w:unhideWhenUsed/>
    <w:qFormat/>
    <w:uiPriority w:val="0"/>
    <w:pPr>
      <w:ind w:firstLine="420" w:firstLineChars="100"/>
    </w:pPr>
  </w:style>
  <w:style w:type="table" w:styleId="36">
    <w:name w:val="Table Grid"/>
    <w:basedOn w:val="35"/>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8">
    <w:name w:val="endnote reference"/>
    <w:unhideWhenUsed/>
    <w:qFormat/>
    <w:uiPriority w:val="99"/>
    <w:rPr>
      <w:vertAlign w:val="superscript"/>
    </w:rPr>
  </w:style>
  <w:style w:type="character" w:styleId="39">
    <w:name w:val="FollowedHyperlink"/>
    <w:unhideWhenUsed/>
    <w:qFormat/>
    <w:uiPriority w:val="99"/>
    <w:rPr>
      <w:color w:val="000000"/>
      <w:sz w:val="18"/>
      <w:szCs w:val="18"/>
      <w:u w:val="none"/>
    </w:rPr>
  </w:style>
  <w:style w:type="character" w:styleId="40">
    <w:name w:val="Emphasis"/>
    <w:qFormat/>
    <w:uiPriority w:val="20"/>
    <w:rPr>
      <w:i/>
      <w:iCs/>
    </w:rPr>
  </w:style>
  <w:style w:type="character" w:styleId="41">
    <w:name w:val="Hyperlink"/>
    <w:unhideWhenUsed/>
    <w:qFormat/>
    <w:uiPriority w:val="99"/>
    <w:rPr>
      <w:color w:val="999999"/>
      <w:sz w:val="18"/>
      <w:szCs w:val="18"/>
      <w:u w:val="none"/>
    </w:rPr>
  </w:style>
  <w:style w:type="character" w:styleId="42">
    <w:name w:val="annotation reference"/>
    <w:unhideWhenUsed/>
    <w:qFormat/>
    <w:uiPriority w:val="99"/>
    <w:rPr>
      <w:sz w:val="21"/>
      <w:szCs w:val="21"/>
    </w:rPr>
  </w:style>
  <w:style w:type="character" w:customStyle="1" w:styleId="43">
    <w:name w:val="页眉 Char"/>
    <w:link w:val="26"/>
    <w:qFormat/>
    <w:uiPriority w:val="99"/>
    <w:rPr>
      <w:sz w:val="18"/>
      <w:szCs w:val="18"/>
    </w:rPr>
  </w:style>
  <w:style w:type="character" w:customStyle="1" w:styleId="44">
    <w:name w:val="标题 1 Char"/>
    <w:link w:val="5"/>
    <w:qFormat/>
    <w:uiPriority w:val="0"/>
    <w:rPr>
      <w:rFonts w:ascii="Calibri" w:hAnsi="Calibri" w:eastAsia="仿宋_GB2312"/>
      <w:b/>
      <w:bCs/>
      <w:kern w:val="44"/>
      <w:sz w:val="36"/>
      <w:szCs w:val="44"/>
    </w:rPr>
  </w:style>
  <w:style w:type="character" w:customStyle="1" w:styleId="45">
    <w:name w:val="标题 2 Char"/>
    <w:link w:val="6"/>
    <w:qFormat/>
    <w:uiPriority w:val="0"/>
    <w:rPr>
      <w:rFonts w:ascii="Times New Roman" w:hAnsi="Times New Roman" w:eastAsia="仿宋_GB2312"/>
      <w:b/>
      <w:bCs/>
      <w:kern w:val="2"/>
      <w:sz w:val="28"/>
      <w:szCs w:val="28"/>
    </w:rPr>
  </w:style>
  <w:style w:type="character" w:customStyle="1" w:styleId="46">
    <w:name w:val="标题 3 Char1"/>
    <w:link w:val="8"/>
    <w:qFormat/>
    <w:uiPriority w:val="0"/>
    <w:rPr>
      <w:rFonts w:ascii="Calibri" w:hAnsi="Calibri" w:eastAsia="黑体"/>
      <w:b/>
      <w:bCs/>
      <w:kern w:val="2"/>
      <w:sz w:val="30"/>
      <w:szCs w:val="32"/>
    </w:rPr>
  </w:style>
  <w:style w:type="character" w:customStyle="1" w:styleId="47">
    <w:name w:val="标题 4 Char"/>
    <w:link w:val="9"/>
    <w:qFormat/>
    <w:uiPriority w:val="0"/>
    <w:rPr>
      <w:rFonts w:ascii="Times New Roman" w:hAnsi="Times New Roman"/>
      <w:b/>
      <w:bCs/>
      <w:kern w:val="2"/>
      <w:sz w:val="28"/>
      <w:szCs w:val="28"/>
    </w:rPr>
  </w:style>
  <w:style w:type="character" w:customStyle="1" w:styleId="48">
    <w:name w:val="标题 5 Char"/>
    <w:link w:val="10"/>
    <w:qFormat/>
    <w:uiPriority w:val="0"/>
    <w:rPr>
      <w:rFonts w:ascii="Times New Roman" w:hAnsi="Times New Roman" w:eastAsia="宋体" w:cs="Times New Roman"/>
      <w:b/>
      <w:sz w:val="28"/>
    </w:rPr>
  </w:style>
  <w:style w:type="character" w:customStyle="1" w:styleId="49">
    <w:name w:val="标题 6 Char"/>
    <w:link w:val="11"/>
    <w:qFormat/>
    <w:uiPriority w:val="0"/>
    <w:rPr>
      <w:rFonts w:ascii="Arial" w:hAnsi="Arial" w:eastAsia="黑体" w:cs="Times New Roman"/>
      <w:b/>
      <w:sz w:val="24"/>
    </w:rPr>
  </w:style>
  <w:style w:type="character" w:customStyle="1" w:styleId="50">
    <w:name w:val="标题 7 Char"/>
    <w:link w:val="12"/>
    <w:qFormat/>
    <w:uiPriority w:val="99"/>
    <w:rPr>
      <w:rFonts w:ascii="Times New Roman" w:hAnsi="Times New Roman" w:eastAsia="宋体" w:cs="Times New Roman"/>
      <w:b/>
      <w:bCs/>
      <w:sz w:val="24"/>
      <w:szCs w:val="24"/>
    </w:rPr>
  </w:style>
  <w:style w:type="character" w:customStyle="1" w:styleId="51">
    <w:name w:val="标题 8 Char"/>
    <w:link w:val="13"/>
    <w:qFormat/>
    <w:uiPriority w:val="99"/>
    <w:rPr>
      <w:rFonts w:ascii="Cambria" w:hAnsi="Cambria" w:eastAsia="宋体" w:cs="Times New Roman"/>
      <w:sz w:val="24"/>
      <w:szCs w:val="24"/>
    </w:rPr>
  </w:style>
  <w:style w:type="character" w:customStyle="1" w:styleId="52">
    <w:name w:val="标题 9 Char"/>
    <w:link w:val="14"/>
    <w:qFormat/>
    <w:uiPriority w:val="99"/>
    <w:rPr>
      <w:rFonts w:ascii="Cambria" w:hAnsi="Cambria" w:eastAsia="宋体" w:cs="Times New Roman"/>
      <w:sz w:val="24"/>
      <w:szCs w:val="21"/>
    </w:rPr>
  </w:style>
  <w:style w:type="character" w:customStyle="1" w:styleId="53">
    <w:name w:val="文档结构图 Char1"/>
    <w:link w:val="16"/>
    <w:qFormat/>
    <w:uiPriority w:val="99"/>
    <w:rPr>
      <w:rFonts w:ascii="宋体" w:eastAsia="宋体"/>
      <w:sz w:val="18"/>
      <w:szCs w:val="18"/>
    </w:rPr>
  </w:style>
  <w:style w:type="character" w:customStyle="1" w:styleId="54">
    <w:name w:val="批注文字 Char"/>
    <w:link w:val="17"/>
    <w:qFormat/>
    <w:uiPriority w:val="0"/>
    <w:rPr>
      <w:rFonts w:ascii="Times New Roman" w:hAnsi="Times New Roman" w:eastAsia="宋体" w:cs="Times New Roman"/>
      <w:szCs w:val="20"/>
    </w:rPr>
  </w:style>
  <w:style w:type="character" w:customStyle="1" w:styleId="55">
    <w:name w:val="正文文本缩进 Char"/>
    <w:link w:val="19"/>
    <w:semiHidden/>
    <w:qFormat/>
    <w:uiPriority w:val="99"/>
    <w:rPr>
      <w:rFonts w:ascii="Calibri" w:hAnsi="Calibri" w:eastAsia="宋体" w:cs="Times New Roman"/>
    </w:rPr>
  </w:style>
  <w:style w:type="character" w:customStyle="1" w:styleId="56">
    <w:name w:val="日期 Char"/>
    <w:link w:val="21"/>
    <w:semiHidden/>
    <w:qFormat/>
    <w:uiPriority w:val="99"/>
    <w:rPr>
      <w:rFonts w:ascii="Calibri" w:hAnsi="Calibri" w:eastAsia="宋体" w:cs="Times New Roman"/>
    </w:rPr>
  </w:style>
  <w:style w:type="character" w:customStyle="1" w:styleId="57">
    <w:name w:val="正文文本缩进 2 Char"/>
    <w:link w:val="22"/>
    <w:qFormat/>
    <w:uiPriority w:val="0"/>
    <w:rPr>
      <w:rFonts w:ascii="仿宋_GB2312" w:eastAsia="仿宋_GB2312"/>
      <w:sz w:val="30"/>
      <w:szCs w:val="30"/>
    </w:rPr>
  </w:style>
  <w:style w:type="character" w:customStyle="1" w:styleId="58">
    <w:name w:val="批注框文本 Char"/>
    <w:link w:val="24"/>
    <w:qFormat/>
    <w:uiPriority w:val="99"/>
    <w:rPr>
      <w:sz w:val="18"/>
      <w:szCs w:val="18"/>
    </w:rPr>
  </w:style>
  <w:style w:type="character" w:customStyle="1" w:styleId="59">
    <w:name w:val="页脚 Char"/>
    <w:link w:val="25"/>
    <w:qFormat/>
    <w:uiPriority w:val="99"/>
    <w:rPr>
      <w:sz w:val="18"/>
      <w:szCs w:val="18"/>
    </w:rPr>
  </w:style>
  <w:style w:type="character" w:customStyle="1" w:styleId="60">
    <w:name w:val="标题 Char"/>
    <w:link w:val="32"/>
    <w:qFormat/>
    <w:uiPriority w:val="0"/>
    <w:rPr>
      <w:rFonts w:ascii="Times New Roman" w:hAnsi="Times New Roman" w:eastAsia="宋体" w:cs="Times New Roman"/>
      <w:b/>
      <w:bCs/>
      <w:snapToGrid w:val="0"/>
      <w:kern w:val="0"/>
      <w:sz w:val="24"/>
      <w:szCs w:val="32"/>
    </w:rPr>
  </w:style>
  <w:style w:type="character" w:customStyle="1" w:styleId="61">
    <w:name w:val="批注主题 Char"/>
    <w:link w:val="33"/>
    <w:semiHidden/>
    <w:qFormat/>
    <w:uiPriority w:val="99"/>
    <w:rPr>
      <w:rFonts w:ascii="Calibri" w:hAnsi="Calibri" w:eastAsia="宋体" w:cs="Times New Roman"/>
      <w:b/>
      <w:bCs/>
      <w:kern w:val="2"/>
      <w:sz w:val="21"/>
      <w:szCs w:val="22"/>
    </w:rPr>
  </w:style>
  <w:style w:type="paragraph" w:customStyle="1" w:styleId="62">
    <w:name w:val="Default"/>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character" w:customStyle="1" w:styleId="63">
    <w:name w:val="景深标题2 字符"/>
    <w:link w:val="64"/>
    <w:qFormat/>
    <w:uiPriority w:val="0"/>
    <w:rPr>
      <w:rFonts w:ascii="Times New Roman" w:hAnsi="Times New Roman" w:eastAsia="黑体"/>
      <w:b/>
      <w:bCs/>
      <w:kern w:val="44"/>
      <w:sz w:val="30"/>
      <w:szCs w:val="44"/>
    </w:rPr>
  </w:style>
  <w:style w:type="paragraph" w:customStyle="1" w:styleId="64">
    <w:name w:val="景深标题2"/>
    <w:basedOn w:val="65"/>
    <w:next w:val="66"/>
    <w:link w:val="63"/>
    <w:qFormat/>
    <w:uiPriority w:val="0"/>
    <w:pPr>
      <w:numPr>
        <w:ilvl w:val="1"/>
        <w:numId w:val="2"/>
      </w:numPr>
      <w:ind w:firstLineChars="0"/>
      <w:outlineLvl w:val="1"/>
    </w:pPr>
    <w:rPr>
      <w:rFonts w:eastAsia="黑体"/>
      <w:b/>
      <w:bCs/>
      <w:kern w:val="44"/>
      <w:sz w:val="30"/>
      <w:szCs w:val="44"/>
    </w:rPr>
  </w:style>
  <w:style w:type="paragraph" w:styleId="65">
    <w:name w:val="List Paragraph"/>
    <w:basedOn w:val="1"/>
    <w:qFormat/>
    <w:uiPriority w:val="34"/>
    <w:pPr>
      <w:ind w:firstLine="420" w:firstLineChars="200"/>
    </w:pPr>
  </w:style>
  <w:style w:type="paragraph" w:customStyle="1" w:styleId="66">
    <w:name w:val="景深正文"/>
    <w:basedOn w:val="1"/>
    <w:link w:val="67"/>
    <w:qFormat/>
    <w:uiPriority w:val="0"/>
    <w:pPr>
      <w:spacing w:line="360" w:lineRule="auto"/>
      <w:ind w:firstLine="200" w:firstLineChars="200"/>
    </w:pPr>
    <w:rPr>
      <w:rFonts w:eastAsia="方正楷体简体"/>
      <w:kern w:val="44"/>
      <w:sz w:val="28"/>
      <w:szCs w:val="44"/>
    </w:rPr>
  </w:style>
  <w:style w:type="character" w:customStyle="1" w:styleId="67">
    <w:name w:val="景深正文 字符"/>
    <w:link w:val="66"/>
    <w:qFormat/>
    <w:uiPriority w:val="0"/>
    <w:rPr>
      <w:rFonts w:ascii="Times New Roman" w:hAnsi="Times New Roman" w:eastAsia="方正楷体简体" w:cs="Times New Roman"/>
      <w:kern w:val="44"/>
      <w:sz w:val="28"/>
      <w:szCs w:val="44"/>
    </w:rPr>
  </w:style>
  <w:style w:type="character" w:customStyle="1" w:styleId="68">
    <w:name w:val="样式2 Char"/>
    <w:link w:val="69"/>
    <w:qFormat/>
    <w:locked/>
    <w:uiPriority w:val="0"/>
    <w:rPr>
      <w:rFonts w:ascii="黑体" w:hAnsi="Times New Roman" w:eastAsia="黑体" w:cs="Times New Roman"/>
      <w:b/>
      <w:sz w:val="30"/>
    </w:rPr>
  </w:style>
  <w:style w:type="paragraph" w:customStyle="1" w:styleId="69">
    <w:name w:val="样式2"/>
    <w:basedOn w:val="1"/>
    <w:link w:val="68"/>
    <w:qFormat/>
    <w:uiPriority w:val="0"/>
    <w:pPr>
      <w:spacing w:before="120" w:after="120" w:line="500" w:lineRule="exact"/>
      <w:ind w:firstLine="567" w:firstLineChars="200"/>
    </w:pPr>
    <w:rPr>
      <w:rFonts w:ascii="黑体" w:eastAsia="黑体"/>
      <w:b/>
      <w:kern w:val="0"/>
      <w:sz w:val="30"/>
      <w:szCs w:val="20"/>
    </w:rPr>
  </w:style>
  <w:style w:type="character" w:customStyle="1" w:styleId="70">
    <w:name w:val="景深标题3 字符"/>
    <w:link w:val="71"/>
    <w:qFormat/>
    <w:uiPriority w:val="0"/>
    <w:rPr>
      <w:rFonts w:ascii="Times New Roman" w:hAnsi="Times New Roman" w:eastAsia="黑体"/>
      <w:b/>
      <w:bCs/>
      <w:kern w:val="44"/>
      <w:sz w:val="28"/>
      <w:szCs w:val="44"/>
    </w:rPr>
  </w:style>
  <w:style w:type="paragraph" w:customStyle="1" w:styleId="71">
    <w:name w:val="景深标题3"/>
    <w:basedOn w:val="65"/>
    <w:link w:val="70"/>
    <w:qFormat/>
    <w:uiPriority w:val="0"/>
    <w:pPr>
      <w:keepNext/>
      <w:numPr>
        <w:ilvl w:val="2"/>
        <w:numId w:val="2"/>
      </w:numPr>
      <w:ind w:firstLineChars="0"/>
      <w:outlineLvl w:val="2"/>
    </w:pPr>
    <w:rPr>
      <w:rFonts w:eastAsia="黑体"/>
      <w:b/>
      <w:bCs/>
      <w:kern w:val="44"/>
      <w:sz w:val="28"/>
      <w:szCs w:val="44"/>
    </w:rPr>
  </w:style>
  <w:style w:type="character" w:customStyle="1" w:styleId="72">
    <w:name w:val="批注框文本 字符1"/>
    <w:semiHidden/>
    <w:qFormat/>
    <w:uiPriority w:val="99"/>
    <w:rPr>
      <w:rFonts w:ascii="Calibri" w:hAnsi="Calibri" w:eastAsia="宋体" w:cs="Times New Roman"/>
      <w:sz w:val="18"/>
      <w:szCs w:val="18"/>
    </w:rPr>
  </w:style>
  <w:style w:type="character" w:customStyle="1" w:styleId="73">
    <w:name w:val="景深标题1 字符"/>
    <w:link w:val="74"/>
    <w:qFormat/>
    <w:uiPriority w:val="0"/>
    <w:rPr>
      <w:rFonts w:ascii="Times New Roman" w:hAnsi="Times New Roman" w:eastAsia="仿宋_GB2312"/>
      <w:b/>
      <w:bCs/>
      <w:kern w:val="44"/>
      <w:sz w:val="36"/>
      <w:szCs w:val="44"/>
    </w:rPr>
  </w:style>
  <w:style w:type="paragraph" w:customStyle="1" w:styleId="74">
    <w:name w:val="景深标题1"/>
    <w:basedOn w:val="5"/>
    <w:link w:val="73"/>
    <w:qFormat/>
    <w:uiPriority w:val="0"/>
    <w:pPr>
      <w:numPr>
        <w:numId w:val="2"/>
      </w:numPr>
      <w:spacing w:beforeLines="100" w:after="100" w:afterAutospacing="1" w:line="360" w:lineRule="auto"/>
    </w:pPr>
    <w:rPr>
      <w:rFonts w:ascii="Times New Roman" w:hAnsi="Times New Roman"/>
    </w:rPr>
  </w:style>
  <w:style w:type="character" w:customStyle="1" w:styleId="75">
    <w:name w:val="景深附图 字符"/>
    <w:link w:val="76"/>
    <w:qFormat/>
    <w:uiPriority w:val="0"/>
  </w:style>
  <w:style w:type="paragraph" w:customStyle="1" w:styleId="76">
    <w:name w:val="景深附图"/>
    <w:basedOn w:val="1"/>
    <w:link w:val="75"/>
    <w:qFormat/>
    <w:uiPriority w:val="0"/>
    <w:pPr>
      <w:numPr>
        <w:ilvl w:val="0"/>
        <w:numId w:val="3"/>
      </w:numPr>
      <w:spacing w:line="360" w:lineRule="auto"/>
    </w:pPr>
    <w:rPr>
      <w:sz w:val="24"/>
    </w:rPr>
  </w:style>
  <w:style w:type="character" w:customStyle="1" w:styleId="77">
    <w:name w:val="景深附件 字符"/>
    <w:link w:val="78"/>
    <w:qFormat/>
    <w:uiPriority w:val="0"/>
    <w:rPr>
      <w:rFonts w:ascii="Times New Roman" w:hAnsi="Times New Roman" w:eastAsia="方正楷体简体"/>
      <w:kern w:val="2"/>
      <w:sz w:val="24"/>
      <w:szCs w:val="22"/>
    </w:rPr>
  </w:style>
  <w:style w:type="paragraph" w:customStyle="1" w:styleId="78">
    <w:name w:val="景深附件"/>
    <w:basedOn w:val="1"/>
    <w:link w:val="77"/>
    <w:qFormat/>
    <w:uiPriority w:val="0"/>
    <w:pPr>
      <w:numPr>
        <w:ilvl w:val="0"/>
        <w:numId w:val="4"/>
      </w:numPr>
      <w:spacing w:line="360" w:lineRule="auto"/>
    </w:pPr>
    <w:rPr>
      <w:rFonts w:eastAsia="方正楷体简体"/>
      <w:sz w:val="24"/>
      <w:szCs w:val="22"/>
    </w:rPr>
  </w:style>
  <w:style w:type="character" w:customStyle="1" w:styleId="79">
    <w:name w:val="文档结构图 字符1"/>
    <w:semiHidden/>
    <w:qFormat/>
    <w:uiPriority w:val="99"/>
    <w:rPr>
      <w:rFonts w:ascii="Microsoft YaHei UI" w:hAnsi="Calibri" w:eastAsia="Microsoft YaHei UI" w:cs="Times New Roman"/>
      <w:sz w:val="18"/>
      <w:szCs w:val="18"/>
    </w:rPr>
  </w:style>
  <w:style w:type="character" w:customStyle="1" w:styleId="80">
    <w:name w:val="标题 3 Char"/>
    <w:qFormat/>
    <w:uiPriority w:val="0"/>
    <w:rPr>
      <w:rFonts w:ascii="Calibri" w:hAnsi="Calibri" w:eastAsia="黑体"/>
      <w:b/>
      <w:bCs/>
      <w:kern w:val="2"/>
      <w:sz w:val="30"/>
      <w:szCs w:val="32"/>
    </w:rPr>
  </w:style>
  <w:style w:type="character" w:customStyle="1" w:styleId="81">
    <w:name w:val="表内格式 Char1"/>
    <w:link w:val="82"/>
    <w:qFormat/>
    <w:uiPriority w:val="0"/>
    <w:rPr>
      <w:rFonts w:eastAsia="宋体"/>
      <w:sz w:val="18"/>
    </w:rPr>
  </w:style>
  <w:style w:type="paragraph" w:customStyle="1" w:styleId="82">
    <w:name w:val="表内格式"/>
    <w:basedOn w:val="1"/>
    <w:link w:val="81"/>
    <w:qFormat/>
    <w:uiPriority w:val="0"/>
    <w:pPr>
      <w:jc w:val="center"/>
    </w:pPr>
    <w:rPr>
      <w:kern w:val="0"/>
      <w:sz w:val="18"/>
      <w:szCs w:val="20"/>
    </w:rPr>
  </w:style>
  <w:style w:type="character" w:customStyle="1" w:styleId="83">
    <w:name w:val="景深页眉 字符"/>
    <w:link w:val="84"/>
    <w:qFormat/>
    <w:uiPriority w:val="0"/>
    <w:rPr>
      <w:rFonts w:ascii="Times New Roman" w:hAnsi="Times New Roman" w:eastAsia="宋体" w:cs="Times New Roman"/>
      <w:sz w:val="18"/>
      <w:szCs w:val="18"/>
    </w:rPr>
  </w:style>
  <w:style w:type="paragraph" w:customStyle="1" w:styleId="84">
    <w:name w:val="景深页眉"/>
    <w:basedOn w:val="26"/>
    <w:link w:val="83"/>
    <w:qFormat/>
    <w:uiPriority w:val="0"/>
    <w:pPr>
      <w:pBdr>
        <w:bottom w:val="single" w:color="auto" w:sz="4" w:space="1"/>
      </w:pBdr>
    </w:pPr>
  </w:style>
  <w:style w:type="character" w:customStyle="1" w:styleId="85">
    <w:name w:val="批注文字 字符"/>
    <w:semiHidden/>
    <w:qFormat/>
    <w:uiPriority w:val="99"/>
    <w:rPr>
      <w:rFonts w:ascii="Calibri" w:hAnsi="Calibri" w:eastAsia="宋体" w:cs="Times New Roman"/>
    </w:rPr>
  </w:style>
  <w:style w:type="character" w:customStyle="1" w:styleId="86">
    <w:name w:val="批注文字 Char1"/>
    <w:qFormat/>
    <w:uiPriority w:val="99"/>
    <w:rPr>
      <w:rFonts w:ascii="Times New Roman" w:hAnsi="Times New Roman" w:eastAsia="宋体" w:cs="Times New Roman"/>
      <w:szCs w:val="20"/>
    </w:rPr>
  </w:style>
  <w:style w:type="character" w:customStyle="1" w:styleId="87">
    <w:name w:val="景深页脚 字符"/>
    <w:link w:val="88"/>
    <w:qFormat/>
    <w:uiPriority w:val="0"/>
    <w:rPr>
      <w:rFonts w:ascii="Times New Roman" w:hAnsi="Times New Roman" w:eastAsia="宋体"/>
      <w:sz w:val="18"/>
      <w:szCs w:val="18"/>
    </w:rPr>
  </w:style>
  <w:style w:type="paragraph" w:customStyle="1" w:styleId="88">
    <w:name w:val="景深页脚"/>
    <w:basedOn w:val="25"/>
    <w:link w:val="87"/>
    <w:qFormat/>
    <w:uiPriority w:val="0"/>
    <w:pPr>
      <w:pBdr>
        <w:top w:val="single" w:color="auto" w:sz="4" w:space="1"/>
      </w:pBdr>
      <w:spacing w:line="360" w:lineRule="auto"/>
    </w:pPr>
  </w:style>
  <w:style w:type="character" w:customStyle="1" w:styleId="89">
    <w:name w:val="景深封面大标题 字符"/>
    <w:link w:val="90"/>
    <w:qFormat/>
    <w:uiPriority w:val="0"/>
    <w:rPr>
      <w:rFonts w:ascii="Times New Roman" w:hAnsi="Times New Roman" w:eastAsia="黑体"/>
      <w:b/>
      <w:sz w:val="44"/>
    </w:rPr>
  </w:style>
  <w:style w:type="paragraph" w:customStyle="1" w:styleId="90">
    <w:name w:val="景深封面大标题"/>
    <w:basedOn w:val="1"/>
    <w:link w:val="89"/>
    <w:qFormat/>
    <w:uiPriority w:val="0"/>
    <w:pPr>
      <w:jc w:val="center"/>
    </w:pPr>
    <w:rPr>
      <w:rFonts w:eastAsia="黑体"/>
      <w:b/>
      <w:kern w:val="0"/>
      <w:sz w:val="44"/>
      <w:szCs w:val="20"/>
    </w:rPr>
  </w:style>
  <w:style w:type="character" w:customStyle="1" w:styleId="91">
    <w:name w:val="正文文本缩进 2 字符1"/>
    <w:semiHidden/>
    <w:qFormat/>
    <w:uiPriority w:val="99"/>
    <w:rPr>
      <w:rFonts w:ascii="Calibri" w:hAnsi="Calibri" w:eastAsia="宋体" w:cs="Times New Roman"/>
    </w:rPr>
  </w:style>
  <w:style w:type="character" w:customStyle="1" w:styleId="92">
    <w:name w:val="景深项目名称 字符"/>
    <w:link w:val="93"/>
    <w:qFormat/>
    <w:uiPriority w:val="0"/>
    <w:rPr>
      <w:rFonts w:ascii="等线" w:hAnsi="等线"/>
      <w:b/>
      <w:sz w:val="32"/>
      <w:szCs w:val="32"/>
    </w:rPr>
  </w:style>
  <w:style w:type="paragraph" w:customStyle="1" w:styleId="93">
    <w:name w:val="景深项目名称"/>
    <w:basedOn w:val="1"/>
    <w:link w:val="92"/>
    <w:qFormat/>
    <w:uiPriority w:val="0"/>
    <w:pPr>
      <w:spacing w:beforeLines="100"/>
      <w:jc w:val="left"/>
    </w:pPr>
    <w:rPr>
      <w:rFonts w:ascii="等线" w:hAnsi="等线"/>
      <w:b/>
      <w:kern w:val="0"/>
      <w:sz w:val="32"/>
      <w:szCs w:val="32"/>
    </w:rPr>
  </w:style>
  <w:style w:type="character" w:customStyle="1" w:styleId="94">
    <w:name w:val="正文样式 Char"/>
    <w:link w:val="95"/>
    <w:qFormat/>
    <w:uiPriority w:val="0"/>
    <w:rPr>
      <w:rFonts w:ascii="Times New Roman" w:hAnsi="Times New Roman" w:eastAsia="仿宋_GB2312" w:cs="Times New Roman"/>
      <w:b/>
      <w:bCs/>
      <w:kern w:val="44"/>
      <w:sz w:val="32"/>
      <w:szCs w:val="44"/>
    </w:rPr>
  </w:style>
  <w:style w:type="paragraph" w:customStyle="1" w:styleId="95">
    <w:name w:val="正文样式"/>
    <w:basedOn w:val="1"/>
    <w:link w:val="94"/>
    <w:qFormat/>
    <w:uiPriority w:val="0"/>
    <w:pPr>
      <w:ind w:firstLine="640" w:firstLineChars="200"/>
      <w:jc w:val="left"/>
    </w:pPr>
    <w:rPr>
      <w:rFonts w:eastAsia="仿宋_GB2312"/>
      <w:b/>
      <w:bCs/>
      <w:kern w:val="44"/>
      <w:sz w:val="32"/>
      <w:szCs w:val="44"/>
    </w:rPr>
  </w:style>
  <w:style w:type="character" w:customStyle="1" w:styleId="96">
    <w:name w:val="景深前言标题 字符"/>
    <w:link w:val="97"/>
    <w:qFormat/>
    <w:uiPriority w:val="0"/>
    <w:rPr>
      <w:rFonts w:ascii="Times New Roman" w:hAnsi="Times New Roman" w:eastAsia="黑体" w:cs="Times New Roman"/>
      <w:b/>
      <w:bCs/>
      <w:kern w:val="44"/>
      <w:sz w:val="36"/>
      <w:szCs w:val="44"/>
    </w:rPr>
  </w:style>
  <w:style w:type="paragraph" w:customStyle="1" w:styleId="97">
    <w:name w:val="景深前言标题"/>
    <w:basedOn w:val="74"/>
    <w:link w:val="96"/>
    <w:qFormat/>
    <w:uiPriority w:val="0"/>
    <w:pPr>
      <w:numPr>
        <w:numId w:val="0"/>
      </w:numPr>
    </w:pPr>
    <w:rPr>
      <w:rFonts w:eastAsia="黑体"/>
    </w:rPr>
  </w:style>
  <w:style w:type="character" w:customStyle="1" w:styleId="98">
    <w:name w:val="景深目录 字符"/>
    <w:link w:val="99"/>
    <w:qFormat/>
    <w:uiPriority w:val="0"/>
    <w:rPr>
      <w:rFonts w:ascii="Times New Roman" w:hAnsi="Times New Roman" w:eastAsia="黑体"/>
      <w:bCs/>
      <w:kern w:val="44"/>
      <w:sz w:val="32"/>
      <w:szCs w:val="44"/>
    </w:rPr>
  </w:style>
  <w:style w:type="paragraph" w:customStyle="1" w:styleId="99">
    <w:name w:val="景深目录"/>
    <w:basedOn w:val="65"/>
    <w:link w:val="98"/>
    <w:qFormat/>
    <w:uiPriority w:val="0"/>
    <w:pPr>
      <w:spacing w:line="360" w:lineRule="auto"/>
      <w:ind w:firstLine="0" w:firstLineChars="0"/>
      <w:jc w:val="center"/>
    </w:pPr>
    <w:rPr>
      <w:rFonts w:eastAsia="黑体"/>
      <w:bCs/>
      <w:kern w:val="44"/>
      <w:sz w:val="32"/>
      <w:szCs w:val="44"/>
    </w:rPr>
  </w:style>
  <w:style w:type="character" w:customStyle="1" w:styleId="100">
    <w:name w:val="引用 Char"/>
    <w:link w:val="101"/>
    <w:qFormat/>
    <w:uiPriority w:val="29"/>
    <w:rPr>
      <w:rFonts w:ascii="Times New Roman" w:hAnsi="Times New Roman" w:eastAsia="宋体" w:cs="Times New Roman"/>
      <w:iCs/>
      <w:color w:val="000000"/>
      <w:sz w:val="24"/>
    </w:rPr>
  </w:style>
  <w:style w:type="paragraph" w:styleId="101">
    <w:name w:val="Quote"/>
    <w:basedOn w:val="1"/>
    <w:next w:val="1"/>
    <w:link w:val="100"/>
    <w:qFormat/>
    <w:uiPriority w:val="29"/>
    <w:pPr>
      <w:jc w:val="left"/>
    </w:pPr>
    <w:rPr>
      <w:iCs/>
      <w:color w:val="000000"/>
      <w:kern w:val="0"/>
      <w:sz w:val="24"/>
      <w:szCs w:val="20"/>
    </w:rPr>
  </w:style>
  <w:style w:type="character" w:customStyle="1" w:styleId="102">
    <w:name w:val="景深表格 字符"/>
    <w:link w:val="103"/>
    <w:qFormat/>
    <w:uiPriority w:val="0"/>
    <w:rPr>
      <w:rFonts w:ascii="Times New Roman" w:hAnsi="Times New Roman" w:eastAsia="宋体" w:cs="Times New Roman"/>
      <w:kern w:val="44"/>
      <w:sz w:val="24"/>
      <w:szCs w:val="44"/>
    </w:rPr>
  </w:style>
  <w:style w:type="paragraph" w:customStyle="1" w:styleId="103">
    <w:name w:val="景深表格"/>
    <w:basedOn w:val="66"/>
    <w:next w:val="66"/>
    <w:link w:val="102"/>
    <w:qFormat/>
    <w:uiPriority w:val="0"/>
    <w:pPr>
      <w:spacing w:line="240" w:lineRule="auto"/>
      <w:ind w:firstLine="0" w:firstLineChars="0"/>
    </w:pPr>
    <w:rPr>
      <w:rFonts w:eastAsia="宋体"/>
      <w:sz w:val="24"/>
    </w:rPr>
  </w:style>
  <w:style w:type="character" w:customStyle="1" w:styleId="104">
    <w:name w:val="正文小四 Char"/>
    <w:link w:val="105"/>
    <w:qFormat/>
    <w:uiPriority w:val="0"/>
    <w:rPr>
      <w:kern w:val="2"/>
      <w:sz w:val="24"/>
      <w:szCs w:val="24"/>
    </w:rPr>
  </w:style>
  <w:style w:type="paragraph" w:customStyle="1" w:styleId="105">
    <w:name w:val="正文小四"/>
    <w:basedOn w:val="1"/>
    <w:link w:val="104"/>
    <w:qFormat/>
    <w:uiPriority w:val="0"/>
    <w:pPr>
      <w:spacing w:line="360" w:lineRule="auto"/>
      <w:ind w:firstLine="200" w:firstLineChars="200"/>
      <w:jc w:val="left"/>
    </w:pPr>
    <w:rPr>
      <w:sz w:val="24"/>
      <w:szCs w:val="24"/>
    </w:rPr>
  </w:style>
  <w:style w:type="character" w:customStyle="1" w:styleId="106">
    <w:name w:val="文档结构图 Char"/>
    <w:semiHidden/>
    <w:qFormat/>
    <w:uiPriority w:val="99"/>
    <w:rPr>
      <w:rFonts w:ascii="宋体" w:eastAsia="宋体"/>
      <w:sz w:val="18"/>
      <w:szCs w:val="18"/>
    </w:rPr>
  </w:style>
  <w:style w:type="character" w:customStyle="1" w:styleId="107">
    <w:name w:val="正文文字( 首段缩进两字） Char1"/>
    <w:qFormat/>
    <w:uiPriority w:val="0"/>
    <w:rPr>
      <w:rFonts w:eastAsia="仿宋_GB2312"/>
      <w:kern w:val="2"/>
      <w:sz w:val="24"/>
      <w:szCs w:val="24"/>
      <w:lang w:val="en-US" w:eastAsia="zh-CN" w:bidi="ar-SA"/>
    </w:rPr>
  </w:style>
  <w:style w:type="paragraph" w:customStyle="1" w:styleId="108">
    <w:name w:val="AHP"/>
    <w:basedOn w:val="1"/>
    <w:qFormat/>
    <w:uiPriority w:val="0"/>
    <w:pPr>
      <w:spacing w:afterLines="30" w:line="500" w:lineRule="exact"/>
      <w:ind w:firstLine="480" w:firstLineChars="200"/>
    </w:pPr>
    <w:rPr>
      <w:sz w:val="24"/>
      <w:szCs w:val="24"/>
    </w:rPr>
  </w:style>
  <w:style w:type="paragraph" w:customStyle="1" w:styleId="109">
    <w:name w:val="正文4"/>
    <w:qFormat/>
    <w:uiPriority w:val="0"/>
    <w:pPr>
      <w:jc w:val="both"/>
    </w:pPr>
    <w:rPr>
      <w:rFonts w:ascii="等线" w:hAnsi="等线" w:eastAsia="宋体" w:cs="宋体"/>
      <w:kern w:val="2"/>
      <w:sz w:val="21"/>
      <w:szCs w:val="21"/>
      <w:lang w:val="en-US" w:eastAsia="zh-CN" w:bidi="ar-SA"/>
    </w:rPr>
  </w:style>
  <w:style w:type="paragraph" w:customStyle="1" w:styleId="110">
    <w:name w:val="Char Char Char Char Char Char Char"/>
    <w:basedOn w:val="1"/>
    <w:qFormat/>
    <w:uiPriority w:val="0"/>
    <w:pPr>
      <w:spacing w:line="360" w:lineRule="auto"/>
      <w:ind w:firstLine="200" w:firstLineChars="200"/>
    </w:pPr>
    <w:rPr>
      <w:rFonts w:ascii="宋体" w:hAnsi="宋体" w:cs="宋体"/>
      <w:sz w:val="24"/>
      <w:szCs w:val="24"/>
    </w:rPr>
  </w:style>
  <w:style w:type="paragraph" w:customStyle="1" w:styleId="111">
    <w:name w:val="样式 标题 31.1.1标题 3条标题1.1.1h33rd levelH3l3CTReHead 3 WSA标..."/>
    <w:basedOn w:val="8"/>
    <w:qFormat/>
    <w:uiPriority w:val="0"/>
    <w:pPr>
      <w:keepNext w:val="0"/>
      <w:keepLines w:val="0"/>
      <w:tabs>
        <w:tab w:val="left" w:pos="720"/>
        <w:tab w:val="clear" w:pos="709"/>
      </w:tabs>
      <w:adjustRightInd w:val="0"/>
      <w:snapToGrid w:val="0"/>
      <w:spacing w:before="60" w:after="60" w:line="540" w:lineRule="exact"/>
    </w:pPr>
    <w:rPr>
      <w:rFonts w:ascii="Arial" w:hAnsi="Arial" w:cs="宋体"/>
      <w:b w:val="0"/>
      <w:sz w:val="24"/>
      <w:szCs w:val="20"/>
    </w:rPr>
  </w:style>
  <w:style w:type="paragraph" w:customStyle="1" w:styleId="112">
    <w:name w:val="正文2"/>
    <w:qFormat/>
    <w:uiPriority w:val="0"/>
    <w:pPr>
      <w:jc w:val="both"/>
    </w:pPr>
    <w:rPr>
      <w:rFonts w:ascii="Times New Roman" w:hAnsi="Times New Roman" w:eastAsia="宋体" w:cs="Times New Roman"/>
      <w:kern w:val="2"/>
      <w:sz w:val="21"/>
      <w:szCs w:val="21"/>
      <w:lang w:val="en-US" w:eastAsia="zh-CN" w:bidi="ar-SA"/>
    </w:rPr>
  </w:style>
  <w:style w:type="paragraph" w:customStyle="1" w:styleId="113">
    <w:name w:val="_Style 109"/>
    <w:unhideWhenUsed/>
    <w:qFormat/>
    <w:uiPriority w:val="99"/>
    <w:rPr>
      <w:rFonts w:ascii="Times New Roman" w:hAnsi="Times New Roman" w:eastAsia="宋体" w:cs="Times New Roman"/>
      <w:kern w:val="2"/>
      <w:sz w:val="21"/>
      <w:szCs w:val="21"/>
      <w:lang w:val="en-US" w:eastAsia="zh-CN" w:bidi="ar-SA"/>
    </w:rPr>
  </w:style>
  <w:style w:type="paragraph" w:customStyle="1" w:styleId="114">
    <w:name w:val="默认段落字体 Para Char"/>
    <w:basedOn w:val="1"/>
    <w:next w:val="1"/>
    <w:qFormat/>
    <w:uiPriority w:val="0"/>
    <w:pPr>
      <w:spacing w:line="360" w:lineRule="auto"/>
      <w:ind w:firstLine="200" w:firstLineChars="200"/>
    </w:pPr>
    <w:rPr>
      <w:rFonts w:ascii="宋体" w:hAnsi="宋体" w:cs="宋体"/>
      <w:sz w:val="24"/>
      <w:szCs w:val="24"/>
    </w:rPr>
  </w:style>
  <w:style w:type="paragraph" w:customStyle="1" w:styleId="115">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6">
    <w:name w:val="正文表头"/>
    <w:basedOn w:val="1"/>
    <w:qFormat/>
    <w:uiPriority w:val="0"/>
    <w:pPr>
      <w:spacing w:line="360" w:lineRule="auto"/>
      <w:jc w:val="center"/>
    </w:pPr>
    <w:rPr>
      <w:b/>
    </w:rPr>
  </w:style>
  <w:style w:type="paragraph" w:customStyle="1" w:styleId="117">
    <w:name w:val="表格（5号）"/>
    <w:basedOn w:val="1"/>
    <w:qFormat/>
    <w:uiPriority w:val="0"/>
    <w:pPr>
      <w:jc w:val="center"/>
    </w:pPr>
    <w:rPr>
      <w:sz w:val="18"/>
      <w:szCs w:val="18"/>
    </w:rPr>
  </w:style>
  <w:style w:type="paragraph" w:customStyle="1" w:styleId="118">
    <w:name w:val="正文3"/>
    <w:qFormat/>
    <w:uiPriority w:val="0"/>
    <w:pPr>
      <w:jc w:val="both"/>
    </w:pPr>
    <w:rPr>
      <w:rFonts w:ascii="等线" w:hAnsi="等线" w:eastAsia="宋体" w:cs="宋体"/>
      <w:kern w:val="2"/>
      <w:sz w:val="21"/>
      <w:szCs w:val="21"/>
      <w:lang w:val="en-US" w:eastAsia="zh-CN" w:bidi="ar-SA"/>
    </w:rPr>
  </w:style>
  <w:style w:type="paragraph" w:customStyle="1" w:styleId="119">
    <w:name w:val="正文11"/>
    <w:basedOn w:val="1"/>
    <w:qFormat/>
    <w:uiPriority w:val="0"/>
    <w:pPr>
      <w:spacing w:line="360" w:lineRule="auto"/>
      <w:ind w:firstLine="200" w:firstLineChars="200"/>
      <w:jc w:val="left"/>
    </w:pPr>
    <w:rPr>
      <w:sz w:val="24"/>
    </w:rPr>
  </w:style>
  <w:style w:type="paragraph" w:customStyle="1" w:styleId="120">
    <w:name w:val="表头样式1"/>
    <w:basedOn w:val="1"/>
    <w:qFormat/>
    <w:uiPriority w:val="0"/>
    <w:pPr>
      <w:adjustRightInd w:val="0"/>
      <w:snapToGrid w:val="0"/>
      <w:spacing w:line="360" w:lineRule="auto"/>
      <w:ind w:firstLine="640" w:firstLineChars="200"/>
      <w:jc w:val="center"/>
    </w:pPr>
    <w:rPr>
      <w:rFonts w:eastAsia="黑体"/>
      <w:b/>
      <w:sz w:val="24"/>
      <w:szCs w:val="24"/>
    </w:rPr>
  </w:style>
  <w:style w:type="paragraph" w:customStyle="1" w:styleId="121">
    <w:name w:val="6"/>
    <w:basedOn w:val="1"/>
    <w:next w:val="22"/>
    <w:qFormat/>
    <w:uiPriority w:val="0"/>
    <w:pPr>
      <w:spacing w:line="560" w:lineRule="exact"/>
      <w:ind w:firstLine="624"/>
    </w:pPr>
    <w:rPr>
      <w:rFonts w:ascii="仿宋_GB2312" w:eastAsia="仿宋_GB2312"/>
      <w:sz w:val="28"/>
      <w:szCs w:val="20"/>
    </w:rPr>
  </w:style>
  <w:style w:type="paragraph" w:customStyle="1" w:styleId="122">
    <w:name w:val="TOC 标题1"/>
    <w:basedOn w:val="5"/>
    <w:next w:val="1"/>
    <w:unhideWhenUsed/>
    <w:qFormat/>
    <w:uiPriority w:val="39"/>
    <w:pPr>
      <w:widowControl/>
      <w:numPr>
        <w:numId w:val="0"/>
      </w:numPr>
      <w:spacing w:beforeLines="0" w:afterLines="0" w:line="276" w:lineRule="auto"/>
      <w:jc w:val="left"/>
      <w:outlineLvl w:val="9"/>
    </w:pPr>
    <w:rPr>
      <w:rFonts w:ascii="等线 Light" w:hAnsi="等线 Light" w:eastAsia="等线 Light"/>
      <w:color w:val="2E75B5"/>
      <w:kern w:val="0"/>
      <w:sz w:val="28"/>
      <w:szCs w:val="28"/>
    </w:rPr>
  </w:style>
  <w:style w:type="paragraph" w:customStyle="1" w:styleId="123">
    <w:name w:val="样式 标题 4第三层条PIM 4h4标题 4 Char CharL41.1.1.1 Char1.1.1.1标题 ..."/>
    <w:basedOn w:val="9"/>
    <w:qFormat/>
    <w:uiPriority w:val="0"/>
    <w:pPr>
      <w:keepNext w:val="0"/>
      <w:keepLines w:val="0"/>
      <w:tabs>
        <w:tab w:val="left" w:pos="425"/>
      </w:tabs>
      <w:adjustRightInd w:val="0"/>
      <w:snapToGrid w:val="0"/>
      <w:spacing w:before="0" w:after="0" w:line="560" w:lineRule="exact"/>
      <w:ind w:left="851" w:hanging="851"/>
    </w:pPr>
    <w:rPr>
      <w:b w:val="0"/>
      <w:sz w:val="24"/>
      <w:szCs w:val="20"/>
    </w:rPr>
  </w:style>
  <w:style w:type="table" w:customStyle="1" w:styleId="124">
    <w:name w:val="样式1"/>
    <w:basedOn w:val="35"/>
    <w:qFormat/>
    <w:uiPriority w:val="99"/>
    <w:pPr>
      <w:jc w:val="center"/>
    </w:pPr>
    <w:tblPr>
      <w:jc w:val="center"/>
      <w:tblBorders>
        <w:top w:val="single" w:color="auto" w:sz="12" w:space="0"/>
        <w:bottom w:val="single" w:color="auto" w:sz="12" w:space="0"/>
        <w:insideH w:val="single" w:color="auto" w:sz="4" w:space="0"/>
        <w:insideV w:val="single" w:color="auto" w:sz="4" w:space="0"/>
      </w:tblBorders>
      <w:tblCellMar>
        <w:top w:w="0" w:type="dxa"/>
        <w:left w:w="108" w:type="dxa"/>
        <w:bottom w:w="0" w:type="dxa"/>
        <w:right w:w="108" w:type="dxa"/>
      </w:tblCellMar>
    </w:tblPr>
    <w:trPr>
      <w:jc w:val="center"/>
    </w:trPr>
    <w:tcPr>
      <w:vAlign w:val="center"/>
    </w:tcPr>
    <w:tblStylePr w:type="firstRow">
      <w:rPr>
        <w:b/>
      </w:rPr>
      <w:tcPr>
        <w:tcBorders>
          <w:top w:val="single" w:color="auto" w:sz="12" w:space="0"/>
          <w:left w:val="nil"/>
          <w:bottom w:val="single" w:color="auto" w:sz="12" w:space="0"/>
          <w:right w:val="nil"/>
          <w:insideH w:val="nil"/>
          <w:insideV w:val="single" w:sz="4" w:space="0"/>
          <w:tl2br w:val="nil"/>
          <w:tr2bl w:val="nil"/>
        </w:tcBorders>
      </w:tcPr>
    </w:tblStylePr>
  </w:style>
  <w:style w:type="table" w:customStyle="1" w:styleId="125">
    <w:name w:val="网格型1"/>
    <w:basedOn w:val="35"/>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table" w:customStyle="1" w:styleId="126">
    <w:name w:val="样式3"/>
    <w:basedOn w:val="35"/>
    <w:qFormat/>
    <w:uiPriority w:val="99"/>
    <w:rPr>
      <w:szCs w:val="22"/>
    </w:rPr>
    <w:tblPr>
      <w:tblBorders>
        <w:top w:val="single" w:color="auto" w:sz="12" w:space="0"/>
        <w:bottom w:val="single" w:color="auto" w:sz="12" w:space="0"/>
        <w:insideH w:val="single" w:color="auto" w:sz="4" w:space="0"/>
        <w:insideV w:val="single" w:color="auto" w:sz="4" w:space="0"/>
      </w:tblBorders>
      <w:tblCellMar>
        <w:top w:w="0" w:type="dxa"/>
        <w:left w:w="108" w:type="dxa"/>
        <w:bottom w:w="0" w:type="dxa"/>
        <w:right w:w="108" w:type="dxa"/>
      </w:tblCellMar>
    </w:tblPr>
  </w:style>
  <w:style w:type="character" w:customStyle="1" w:styleId="127">
    <w:name w:val="fontstyle01"/>
    <w:qFormat/>
    <w:uiPriority w:val="0"/>
    <w:rPr>
      <w:rFonts w:hint="eastAsia" w:ascii="宋体" w:hAnsi="宋体" w:eastAsia="宋体"/>
      <w:color w:val="000000"/>
      <w:sz w:val="28"/>
      <w:szCs w:val="28"/>
    </w:rPr>
  </w:style>
  <w:style w:type="character" w:customStyle="1" w:styleId="128">
    <w:name w:val="fontstyle11"/>
    <w:qFormat/>
    <w:uiPriority w:val="0"/>
    <w:rPr>
      <w:rFonts w:hint="eastAsia" w:ascii="宋体" w:hAnsi="宋体" w:eastAsia="宋体"/>
      <w:color w:val="000000"/>
      <w:sz w:val="22"/>
      <w:szCs w:val="22"/>
    </w:rPr>
  </w:style>
  <w:style w:type="paragraph" w:customStyle="1" w:styleId="129">
    <w:name w:val="Table Paragraph"/>
    <w:basedOn w:val="1"/>
    <w:qFormat/>
    <w:uiPriority w:val="1"/>
    <w:rPr>
      <w:rFonts w:ascii="宋体" w:hAnsi="宋体" w:cs="宋体"/>
      <w:lang w:val="zh-CN" w:bidi="zh-CN"/>
    </w:rPr>
  </w:style>
  <w:style w:type="paragraph" w:customStyle="1" w:styleId="130">
    <w:name w:val="Char"/>
    <w:basedOn w:val="1"/>
    <w:qFormat/>
    <w:uiPriority w:val="0"/>
    <w:pPr>
      <w:spacing w:line="360" w:lineRule="auto"/>
      <w:jc w:val="left"/>
    </w:pPr>
  </w:style>
  <w:style w:type="paragraph" w:customStyle="1" w:styleId="131">
    <w:name w:val="Default1"/>
    <w:qFormat/>
    <w:uiPriority w:val="99"/>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32">
    <w:name w:val="表格 1"/>
    <w:basedOn w:val="1"/>
    <w:qFormat/>
    <w:uiPriority w:val="0"/>
    <w:pPr>
      <w:spacing w:line="360" w:lineRule="exact"/>
      <w:jc w:val="center"/>
    </w:pPr>
    <w:rPr>
      <w:rFonts w:ascii="Arial" w:hAnsi="Arial" w:cs="宋体"/>
      <w:szCs w:val="20"/>
    </w:rPr>
  </w:style>
  <w:style w:type="paragraph" w:customStyle="1" w:styleId="133">
    <w:name w:val="新正文样式"/>
    <w:basedOn w:val="1"/>
    <w:qFormat/>
    <w:uiPriority w:val="0"/>
    <w:pPr>
      <w:tabs>
        <w:tab w:val="left" w:pos="567"/>
      </w:tabs>
      <w:spacing w:line="360" w:lineRule="auto"/>
      <w:ind w:firstLine="560" w:firstLineChars="200"/>
    </w:pPr>
    <w:rPr>
      <w:rFonts w:eastAsia="华文中宋"/>
      <w:sz w:val="24"/>
    </w:rPr>
  </w:style>
  <w:style w:type="paragraph" w:customStyle="1" w:styleId="134">
    <w:name w:val="智汇元-宜昌-正文"/>
    <w:basedOn w:val="1"/>
    <w:qFormat/>
    <w:uiPriority w:val="0"/>
    <w:pPr>
      <w:spacing w:line="360" w:lineRule="auto"/>
      <w:ind w:firstLine="480" w:firstLineChars="200"/>
    </w:pPr>
    <w:rPr>
      <w:snapToGrid w:val="0"/>
      <w:color w:val="000000"/>
      <w:kern w:val="0"/>
      <w:sz w:val="24"/>
    </w:rPr>
  </w:style>
  <w:style w:type="paragraph" w:customStyle="1" w:styleId="135">
    <w:name w:val="五号框图文字"/>
    <w:basedOn w:val="1"/>
    <w:qFormat/>
    <w:uiPriority w:val="0"/>
    <w:pPr>
      <w:tabs>
        <w:tab w:val="left" w:pos="567"/>
      </w:tabs>
      <w:jc w:val="center"/>
    </w:pPr>
    <w:rPr>
      <w:rFonts w:eastAsia="华文中宋"/>
    </w:rPr>
  </w:style>
  <w:style w:type="paragraph" w:customStyle="1" w:styleId="136">
    <w:name w:val="图例说明"/>
    <w:basedOn w:val="1"/>
    <w:qFormat/>
    <w:uiPriority w:val="0"/>
    <w:pPr>
      <w:jc w:val="center"/>
    </w:pPr>
  </w:style>
  <w:style w:type="paragraph" w:customStyle="1" w:styleId="137">
    <w:name w:val="智汇元-宜昌-表头"/>
    <w:basedOn w:val="1"/>
    <w:qFormat/>
    <w:uiPriority w:val="0"/>
    <w:pPr>
      <w:spacing w:beforeLines="50" w:afterLines="50"/>
      <w:jc w:val="center"/>
    </w:pPr>
    <w:rPr>
      <w:rFonts w:eastAsia="黑体"/>
      <w:color w:val="000000"/>
      <w:szCs w:val="24"/>
    </w:rPr>
  </w:style>
  <w:style w:type="character" w:customStyle="1" w:styleId="138">
    <w:name w:val="正文文本 + 间距 0 pt"/>
    <w:qFormat/>
    <w:uiPriority w:val="0"/>
    <w:rPr>
      <w:rFonts w:ascii="Arial Unicode MS" w:eastAsia="Arial Unicode MS" w:cs="Arial Unicode MS"/>
      <w:spacing w:val="3"/>
      <w:kern w:val="2"/>
      <w:sz w:val="21"/>
      <w:szCs w:val="21"/>
      <w:u w:val="none"/>
      <w:lang w:val="en-US" w:eastAsia="zh-CN" w:bidi="ar-SA"/>
    </w:rPr>
  </w:style>
  <w:style w:type="character" w:customStyle="1" w:styleId="139">
    <w:name w:val="正文文本 + 10 pt61"/>
    <w:qFormat/>
    <w:uiPriority w:val="0"/>
    <w:rPr>
      <w:rFonts w:ascii="Arial Unicode MS" w:eastAsia="Arial Unicode MS" w:cs="Arial Unicode MS"/>
      <w:spacing w:val="0"/>
      <w:kern w:val="2"/>
      <w:sz w:val="20"/>
      <w:szCs w:val="20"/>
      <w:u w:val="none"/>
      <w:lang w:val="en-US" w:eastAsia="en-US" w:bidi="ar-SA"/>
    </w:rPr>
  </w:style>
  <w:style w:type="character" w:customStyle="1" w:styleId="140">
    <w:name w:val="正文文本 + 间距 0 pt4"/>
    <w:qFormat/>
    <w:uiPriority w:val="0"/>
    <w:rPr>
      <w:rFonts w:ascii="Arial Unicode MS" w:eastAsia="Arial Unicode MS" w:cs="Arial Unicode MS"/>
      <w:spacing w:val="-19"/>
      <w:kern w:val="2"/>
      <w:sz w:val="21"/>
      <w:szCs w:val="21"/>
      <w:u w:val="none"/>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7" Type="http://schemas.openxmlformats.org/officeDocument/2006/relationships/fontTable" Target="fontTable.xml"/><Relationship Id="rId76" Type="http://schemas.openxmlformats.org/officeDocument/2006/relationships/numbering" Target="numbering.xml"/><Relationship Id="rId75" Type="http://schemas.openxmlformats.org/officeDocument/2006/relationships/customXml" Target="../customXml/item1.xml"/><Relationship Id="rId74" Type="http://schemas.openxmlformats.org/officeDocument/2006/relationships/image" Target="media/image54.jpeg"/><Relationship Id="rId73" Type="http://schemas.openxmlformats.org/officeDocument/2006/relationships/image" Target="media/image53.jpeg"/><Relationship Id="rId72" Type="http://schemas.openxmlformats.org/officeDocument/2006/relationships/image" Target="media/image52.jpeg"/><Relationship Id="rId71" Type="http://schemas.openxmlformats.org/officeDocument/2006/relationships/image" Target="media/image51.jpeg"/><Relationship Id="rId70" Type="http://schemas.openxmlformats.org/officeDocument/2006/relationships/image" Target="media/image50.jpeg"/><Relationship Id="rId7" Type="http://schemas.openxmlformats.org/officeDocument/2006/relationships/oleObject" Target="embeddings/oleObject1.bin"/><Relationship Id="rId69" Type="http://schemas.openxmlformats.org/officeDocument/2006/relationships/image" Target="media/image49.jpeg"/><Relationship Id="rId68" Type="http://schemas.openxmlformats.org/officeDocument/2006/relationships/image" Target="media/image48.jpeg"/><Relationship Id="rId67" Type="http://schemas.openxmlformats.org/officeDocument/2006/relationships/image" Target="media/image47.jpeg"/><Relationship Id="rId66" Type="http://schemas.openxmlformats.org/officeDocument/2006/relationships/image" Target="media/image46.jpeg"/><Relationship Id="rId65" Type="http://schemas.openxmlformats.org/officeDocument/2006/relationships/image" Target="media/image45.jpeg"/><Relationship Id="rId64" Type="http://schemas.openxmlformats.org/officeDocument/2006/relationships/image" Target="media/image44.jpeg"/><Relationship Id="rId63" Type="http://schemas.openxmlformats.org/officeDocument/2006/relationships/image" Target="media/image43.jpeg"/><Relationship Id="rId62" Type="http://schemas.openxmlformats.org/officeDocument/2006/relationships/image" Target="media/image42.jpeg"/><Relationship Id="rId61" Type="http://schemas.openxmlformats.org/officeDocument/2006/relationships/image" Target="media/image41.jpeg"/><Relationship Id="rId60" Type="http://schemas.openxmlformats.org/officeDocument/2006/relationships/image" Target="media/image40.jpeg"/><Relationship Id="rId6" Type="http://schemas.openxmlformats.org/officeDocument/2006/relationships/theme" Target="theme/theme1.xml"/><Relationship Id="rId59" Type="http://schemas.openxmlformats.org/officeDocument/2006/relationships/image" Target="media/image39.jpeg"/><Relationship Id="rId58" Type="http://schemas.openxmlformats.org/officeDocument/2006/relationships/image" Target="media/image38.jpeg"/><Relationship Id="rId57" Type="http://schemas.openxmlformats.org/officeDocument/2006/relationships/image" Target="media/image37.jpeg"/><Relationship Id="rId56" Type="http://schemas.openxmlformats.org/officeDocument/2006/relationships/image" Target="media/image36.jpeg"/><Relationship Id="rId55" Type="http://schemas.openxmlformats.org/officeDocument/2006/relationships/image" Target="media/image35.jpeg"/><Relationship Id="rId54" Type="http://schemas.openxmlformats.org/officeDocument/2006/relationships/image" Target="media/image34.jpeg"/><Relationship Id="rId53" Type="http://schemas.openxmlformats.org/officeDocument/2006/relationships/image" Target="media/image33.jpeg"/><Relationship Id="rId52" Type="http://schemas.openxmlformats.org/officeDocument/2006/relationships/image" Target="media/image32.jpeg"/><Relationship Id="rId51" Type="http://schemas.openxmlformats.org/officeDocument/2006/relationships/image" Target="media/image31.jpeg"/><Relationship Id="rId50" Type="http://schemas.openxmlformats.org/officeDocument/2006/relationships/image" Target="media/image30.jpeg"/><Relationship Id="rId5" Type="http://schemas.openxmlformats.org/officeDocument/2006/relationships/footer" Target="footer2.xml"/><Relationship Id="rId49" Type="http://schemas.openxmlformats.org/officeDocument/2006/relationships/image" Target="media/image29.jpeg"/><Relationship Id="rId48" Type="http://schemas.openxmlformats.org/officeDocument/2006/relationships/image" Target="media/image28.png"/><Relationship Id="rId47" Type="http://schemas.openxmlformats.org/officeDocument/2006/relationships/image" Target="media/image27.png"/><Relationship Id="rId46" Type="http://schemas.openxmlformats.org/officeDocument/2006/relationships/image" Target="media/image26.jpeg"/><Relationship Id="rId45" Type="http://schemas.openxmlformats.org/officeDocument/2006/relationships/image" Target="media/image25.jpeg"/><Relationship Id="rId44" Type="http://schemas.openxmlformats.org/officeDocument/2006/relationships/image" Target="media/image24.jpeg"/><Relationship Id="rId43" Type="http://schemas.openxmlformats.org/officeDocument/2006/relationships/image" Target="media/image23.jpeg"/><Relationship Id="rId42" Type="http://schemas.openxmlformats.org/officeDocument/2006/relationships/image" Target="media/image22.png"/><Relationship Id="rId41" Type="http://schemas.openxmlformats.org/officeDocument/2006/relationships/image" Target="media/image21.png"/><Relationship Id="rId40" Type="http://schemas.openxmlformats.org/officeDocument/2006/relationships/image" Target="media/image20.png"/><Relationship Id="rId4" Type="http://schemas.openxmlformats.org/officeDocument/2006/relationships/footer" Target="footer1.xml"/><Relationship Id="rId39" Type="http://schemas.openxmlformats.org/officeDocument/2006/relationships/image" Target="media/image19.jpeg"/><Relationship Id="rId38" Type="http://schemas.openxmlformats.org/officeDocument/2006/relationships/image" Target="media/image18.jpeg"/><Relationship Id="rId37" Type="http://schemas.openxmlformats.org/officeDocument/2006/relationships/image" Target="media/image17.png"/><Relationship Id="rId36" Type="http://schemas.openxmlformats.org/officeDocument/2006/relationships/image" Target="media/image16.png"/><Relationship Id="rId35" Type="http://schemas.openxmlformats.org/officeDocument/2006/relationships/image" Target="media/image15.emf"/><Relationship Id="rId34" Type="http://schemas.openxmlformats.org/officeDocument/2006/relationships/oleObject" Target="embeddings/oleObject14.bin"/><Relationship Id="rId33" Type="http://schemas.openxmlformats.org/officeDocument/2006/relationships/image" Target="media/image14.png"/><Relationship Id="rId32" Type="http://schemas.openxmlformats.org/officeDocument/2006/relationships/image" Target="media/image13.emf"/><Relationship Id="rId31" Type="http://schemas.openxmlformats.org/officeDocument/2006/relationships/oleObject" Target="embeddings/oleObject13.bin"/><Relationship Id="rId30" Type="http://schemas.openxmlformats.org/officeDocument/2006/relationships/image" Target="media/image12.wmf"/><Relationship Id="rId3" Type="http://schemas.openxmlformats.org/officeDocument/2006/relationships/header" Target="header1.xml"/><Relationship Id="rId29" Type="http://schemas.openxmlformats.org/officeDocument/2006/relationships/oleObject" Target="embeddings/oleObject12.bin"/><Relationship Id="rId28" Type="http://schemas.openxmlformats.org/officeDocument/2006/relationships/image" Target="media/image11.wmf"/><Relationship Id="rId27" Type="http://schemas.openxmlformats.org/officeDocument/2006/relationships/oleObject" Target="embeddings/oleObject11.bin"/><Relationship Id="rId26" Type="http://schemas.openxmlformats.org/officeDocument/2006/relationships/image" Target="media/image10.wmf"/><Relationship Id="rId25" Type="http://schemas.openxmlformats.org/officeDocument/2006/relationships/oleObject" Target="embeddings/oleObject10.bin"/><Relationship Id="rId24" Type="http://schemas.openxmlformats.org/officeDocument/2006/relationships/image" Target="media/image9.wmf"/><Relationship Id="rId23" Type="http://schemas.openxmlformats.org/officeDocument/2006/relationships/oleObject" Target="embeddings/oleObject9.bin"/><Relationship Id="rId22" Type="http://schemas.openxmlformats.org/officeDocument/2006/relationships/image" Target="media/image8.wmf"/><Relationship Id="rId21" Type="http://schemas.openxmlformats.org/officeDocument/2006/relationships/oleObject" Target="embeddings/oleObject8.bin"/><Relationship Id="rId20" Type="http://schemas.openxmlformats.org/officeDocument/2006/relationships/image" Target="media/image7.wmf"/><Relationship Id="rId2" Type="http://schemas.openxmlformats.org/officeDocument/2006/relationships/settings" Target="settings.xml"/><Relationship Id="rId19" Type="http://schemas.openxmlformats.org/officeDocument/2006/relationships/oleObject" Target="embeddings/oleObject7.bin"/><Relationship Id="rId18" Type="http://schemas.openxmlformats.org/officeDocument/2006/relationships/image" Target="media/image6.wmf"/><Relationship Id="rId17" Type="http://schemas.openxmlformats.org/officeDocument/2006/relationships/oleObject" Target="embeddings/oleObject6.bin"/><Relationship Id="rId16" Type="http://schemas.openxmlformats.org/officeDocument/2006/relationships/image" Target="media/image5.wmf"/><Relationship Id="rId15" Type="http://schemas.openxmlformats.org/officeDocument/2006/relationships/oleObject" Target="embeddings/oleObject5.bin"/><Relationship Id="rId14" Type="http://schemas.openxmlformats.org/officeDocument/2006/relationships/image" Target="media/image4.wmf"/><Relationship Id="rId13" Type="http://schemas.openxmlformats.org/officeDocument/2006/relationships/oleObject" Target="embeddings/oleObject4.bin"/><Relationship Id="rId12" Type="http://schemas.openxmlformats.org/officeDocument/2006/relationships/image" Target="media/image3.wmf"/><Relationship Id="rId11" Type="http://schemas.openxmlformats.org/officeDocument/2006/relationships/oleObject" Target="embeddings/oleObject3.bin"/><Relationship Id="rId10" Type="http://schemas.openxmlformats.org/officeDocument/2006/relationships/image" Target="media/image2.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172</Pages>
  <Words>65682</Words>
  <Characters>70329</Characters>
  <Lines>500</Lines>
  <Paragraphs>140</Paragraphs>
  <TotalTime>0</TotalTime>
  <ScaleCrop>false</ScaleCrop>
  <LinksUpToDate>false</LinksUpToDate>
  <CharactersWithSpaces>71083</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2021-06-06T05:15:00Z</dcterms:created>
  <dc:creator>H JY</dc:creator>
  <cp:lastModifiedBy>Administrator</cp:lastModifiedBy>
  <cp:lastPrinted>2021-06-10T01:07:00Z</cp:lastPrinted>
  <dcterms:modified xsi:type="dcterms:W3CDTF">2023-03-29T07:20:51Z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718B7FABF5FB494E8298D9D8152C39DF</vt:lpwstr>
  </property>
</Properties>
</file>